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91-e</w:t>
        </w:r>
      </w:fldSimple>
      <w:r>
        <w:rPr>
          <w:b/>
          <w:i/>
          <w:noProof/>
          <w:sz w:val="28"/>
        </w:rPr>
        <w:tab/>
      </w:r>
      <w:fldSimple w:instr=" DOCPROPERTY  Tdoc#  \* MERGEFORMAT ">
        <w:r>
          <w:rPr>
            <w:b/>
            <w:i/>
            <w:noProof/>
            <w:sz w:val="28"/>
          </w:rPr>
          <w:t>R5-213974</w:t>
        </w:r>
      </w:fldSimple>
    </w:p>
    <w:p>
      <w:pPr>
        <w:pStyle w:val="CRCoverPage"/>
        <w:outlineLvl w:val="0"/>
        <w:rPr>
          <w:b/>
          <w:noProof/>
          <w:sz w:val="24"/>
        </w:rPr>
      </w:pPr>
      <w:fldSimple w:instr=" DOCPROPERTY  Location  \* MERGEFORMAT ">
        <w:r>
          <w:rPr>
            <w:b/>
            <w:noProof/>
            <w:sz w:val="24"/>
          </w:rPr>
          <w:t xml:space="preserve">Electronic Meeting, 17th – 28th May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0953</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1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17.0.0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 for 6.5B.3.3.2 Spurious emission band UE co-existence</w:t>
              </w:r>
              <w:r>
                <w:t xml:space="preserve"> </w:t>
              </w:r>
            </w:fldSimple>
            <w:r>
              <w:t>for Rel 16 DC_66A_n2A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Europe Inc. - Italy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2021-05-</w:t>
              </w:r>
            </w:fldSimple>
            <w:r>
              <w:rPr>
                <w:noProof/>
              </w:rPr>
              <w:t>05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Test requirement for DC_66A_n2A is listed under Rel 15, instead of Rel 16</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Removed Test requirement for DC_66A_n2A for 6.5B.3.3.2 Spurious emission band UE co-existence in Rel 15, and moved it to Rel 16 test requirement table.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Test requirement for DC_66A_n2A remains in the wrong table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6.5B.3.3.2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rPr>
                <w:noProof/>
              </w:rPr>
            </w:pPr>
            <w:r>
              <w:rPr>
                <w:noProof/>
              </w:rPr>
              <w:t xml:space="preserve"> R5-212530r1 change</w:t>
            </w:r>
          </w:p>
          <w:p>
            <w:pPr>
              <w:pStyle w:val="CRCoverPage"/>
              <w:numPr>
                <w:ilvl w:val="0"/>
                <w:numId w:val="39"/>
              </w:numPr>
              <w:spacing w:after="0"/>
              <w:rPr>
                <w:noProof/>
              </w:rPr>
            </w:pPr>
            <w:r>
              <w:rPr>
                <w:noProof/>
              </w:rPr>
              <w:t xml:space="preserve">The test requirement is </w:t>
            </w:r>
            <w:r>
              <w:t xml:space="preserve">actually inaccurate </w:t>
            </w:r>
            <w:r>
              <w:rPr>
                <w:noProof/>
              </w:rPr>
              <w:t>based on TP analysis. Correct test requirement is added to Rel 16 test requirement table</w:t>
            </w:r>
          </w:p>
          <w:p>
            <w:pPr>
              <w:pStyle w:val="CRCoverPage"/>
              <w:spacing w:after="0"/>
              <w:rPr>
                <w:noProof/>
              </w:rPr>
            </w:pPr>
            <w:r>
              <w:rPr>
                <w:noProof/>
              </w:rPr>
              <w:t xml:space="preserve"> Revised from R5-212530r1</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rPr>
          <w:rFonts w:eastAsia="??"/>
          <w:b/>
          <w:bCs/>
          <w:color w:val="FF0000"/>
          <w:sz w:val="28"/>
          <w:szCs w:val="28"/>
        </w:rPr>
      </w:pPr>
      <w:r>
        <w:rPr>
          <w:rFonts w:eastAsia="??"/>
          <w:b/>
          <w:bCs/>
          <w:color w:val="FF0000"/>
          <w:sz w:val="28"/>
          <w:szCs w:val="28"/>
          <w:highlight w:val="yellow"/>
        </w:rPr>
        <w:t>&lt;&lt; Unchanged sections skipped&gt;&gt;</w:t>
      </w:r>
    </w:p>
    <w:p>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bookmarkStart w:id="9" w:name="_Toc68206300"/>
      <w:r>
        <w:t>6.5B.3.3.2</w:t>
      </w:r>
      <w:r>
        <w:tab/>
        <w:t>Spurious emission band UE co-existence for Inter-band within FR1</w:t>
      </w:r>
      <w:bookmarkEnd w:id="1"/>
      <w:bookmarkEnd w:id="2"/>
      <w:bookmarkEnd w:id="3"/>
      <w:bookmarkEnd w:id="4"/>
      <w:bookmarkEnd w:id="5"/>
      <w:bookmarkEnd w:id="6"/>
      <w:bookmarkEnd w:id="7"/>
      <w:bookmarkEnd w:id="8"/>
      <w:bookmarkEnd w:id="9"/>
    </w:p>
    <w:p>
      <w:pPr>
        <w:pStyle w:val="EditorsNote"/>
      </w:pPr>
      <w:r>
        <w:t>Editor's note:</w:t>
      </w:r>
      <w:r>
        <w:tab/>
        <w:t>The default and additional test configuration is analysed based on the assumption that only intermodulation products need to be tested.</w:t>
      </w:r>
    </w:p>
    <w:p>
      <w:pPr>
        <w:pStyle w:val="H6"/>
      </w:pPr>
      <w:r>
        <w:t>6.5B.3.3.2.1</w:t>
      </w:r>
      <w:r>
        <w:tab/>
        <w:t>Test purpose</w:t>
      </w:r>
    </w:p>
    <w:p>
      <w:r>
        <w:t>To verify that UE transmitter does not cause unacceptable interference to other channels or other systems in terms of transmitter spurious emissions for band UE co-existence for inter-band EN-DC.</w:t>
      </w:r>
    </w:p>
    <w:p>
      <w:pPr>
        <w:rPr>
          <w:rFonts w:eastAsia="??"/>
          <w:b/>
          <w:bCs/>
          <w:color w:val="FF0000"/>
          <w:sz w:val="28"/>
          <w:szCs w:val="28"/>
        </w:rPr>
      </w:pPr>
      <w:r>
        <w:rPr>
          <w:rFonts w:eastAsia="??"/>
          <w:b/>
          <w:bCs/>
          <w:color w:val="FF0000"/>
          <w:sz w:val="28"/>
          <w:szCs w:val="28"/>
          <w:highlight w:val="yellow"/>
        </w:rPr>
        <w:t>&lt;&lt; Unchanged sections skipped&gt;&gt;</w:t>
      </w:r>
    </w:p>
    <w:p>
      <w:pPr>
        <w:pStyle w:val="H6"/>
      </w:pPr>
      <w:r>
        <w:t>6.5B.3.3.2.4</w:t>
      </w:r>
      <w:r>
        <w:tab/>
        <w:t>Test description</w:t>
      </w:r>
    </w:p>
    <w:p>
      <w:pPr>
        <w:pStyle w:val="H6"/>
      </w:pPr>
      <w:r>
        <w:t>6.5B.3.3.2.4.1</w:t>
      </w:r>
      <w:r>
        <w:tab/>
        <w:t>Initial conditions</w:t>
      </w:r>
    </w:p>
    <w:p>
      <w:r>
        <w:t>Same initial conditions as described in clause 6.5B.3.1.2.4.1 with the following exceptions:</w:t>
      </w:r>
    </w:p>
    <w:p>
      <w:pPr>
        <w:pStyle w:val="B10"/>
      </w:pPr>
      <w:r>
        <w:t>-</w:t>
      </w:r>
      <w:r>
        <w:tab/>
        <w:t xml:space="preserve">Instead of Table 6.5B.3.1.2.4.1-1 </w:t>
      </w:r>
      <w:r>
        <w:noBreakHyphen/>
      </w:r>
      <w:r>
        <w:noBreakHyphen/>
        <w:t>&gt; use Table 6.5B.3.3.2.4.1-1.</w:t>
      </w:r>
    </w:p>
    <w:p>
      <w:pPr>
        <w:pStyle w:val="TH"/>
      </w:pPr>
      <w:r>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lastRenderedPageBreak/>
              <w:t>Initial Conditions</w:t>
            </w:r>
          </w:p>
        </w:tc>
      </w:tr>
      <w:tr>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Environment</w:t>
            </w:r>
          </w:p>
          <w:p>
            <w:pPr>
              <w:pStyle w:val="TAL"/>
            </w:pPr>
            <w:r>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w:t>
            </w:r>
          </w:p>
        </w:tc>
      </w:tr>
      <w:tr>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Frequencies</w:t>
            </w:r>
          </w:p>
          <w:p>
            <w:pPr>
              <w:pStyle w:val="TAL"/>
            </w:pPr>
            <w:r>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rPr>
                <w:bCs/>
              </w:rPr>
              <w:t xml:space="preserve">Test EN-DC channel bandwidth </w:t>
            </w:r>
            <w:r>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Refer to "NR N</w:t>
            </w:r>
            <w:r>
              <w:rPr>
                <w:vertAlign w:val="subscript"/>
              </w:rPr>
              <w:t>RB</w:t>
            </w:r>
            <w:r>
              <w:t>"and "E-UTRA N</w:t>
            </w:r>
            <w:r>
              <w:rPr>
                <w:vertAlign w:val="subscript"/>
              </w:rPr>
              <w:t xml:space="preserve">RB </w:t>
            </w:r>
            <w:r>
              <w:t>" columns</w:t>
            </w:r>
          </w:p>
        </w:tc>
      </w:tr>
      <w:tr>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pPr>
              <w:pStyle w:val="TAL"/>
            </w:pPr>
            <w:r>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pStyle w:val="TAL"/>
            </w:pPr>
            <w:r>
              <w:t>Lowest SCS per Channel Bandwidth</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 / N</w:t>
            </w:r>
            <w:r>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1,2)</w:t>
            </w:r>
          </w:p>
        </w:tc>
      </w:tr>
      <w:tr>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w:t>
            </w:r>
          </w:p>
          <w:p>
            <w:pPr>
              <w:pStyle w:val="TAH"/>
            </w:pPr>
            <w:r>
              <w:t>Ch BW/N</w:t>
            </w:r>
            <w:r>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NR </w:t>
            </w:r>
          </w:p>
          <w:p>
            <w:pPr>
              <w:pStyle w:val="TAH"/>
            </w:pPr>
            <w:r>
              <w:t>Ch BW/N</w:t>
            </w:r>
            <w:r>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CC MOD</w:t>
            </w:r>
          </w:p>
          <w:p>
            <w:pPr>
              <w:pStyle w:val="TAH"/>
            </w:pPr>
            <w: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CC MOD </w:t>
            </w:r>
          </w:p>
          <w:p>
            <w:pPr>
              <w:pStyle w:val="TAH"/>
            </w:pPr>
            <w: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RB</w:t>
            </w:r>
            <w:r>
              <w:rPr>
                <w:vertAlign w:val="subscript"/>
              </w:rPr>
              <w:t>start</w:t>
            </w:r>
            <w:r>
              <w:t>)</w:t>
            </w:r>
          </w:p>
        </w:tc>
      </w:tr>
      <w:tr>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Default Test Settings for a DC_XA_nYA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rPr>
                <w:bCs/>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bCs/>
              </w:rPr>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rPr>
                <w:bCs/>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1@62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1@209</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1@99</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5"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6" w:history="1">
              <w:r>
                <w:rPr>
                  <w:rStyle w:val="Hyperlink"/>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7"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8" w:history="1">
              <w:r>
                <w:rPr>
                  <w:rStyle w:val="Hyperlink"/>
                </w:rPr>
                <w:t>1@215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9"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0"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1"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2"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3" w:history="1">
              <w:r>
                <w:rPr>
                  <w:rStyle w:val="Hyperlink"/>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Settings for DC_3A_n1A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4"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5" w:history="1">
              <w:r>
                <w:rPr>
                  <w:rStyle w:val="Hyperlink"/>
                </w:rPr>
                <w:t>1@105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DC_3A_n7A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6" w:history="1">
              <w:r>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7" w:history="1">
              <w:r>
                <w:rPr>
                  <w:rStyle w:val="Hyperlink"/>
                </w:rPr>
                <w:t>1@51</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8"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9" w:history="1">
              <w:r>
                <w:rPr>
                  <w:rStyle w:val="Hyperlink"/>
                </w:rPr>
                <w:t>1@51</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30"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31" w:history="1">
              <w:r>
                <w:rPr>
                  <w:rStyle w:val="Hyperlink"/>
                </w:rPr>
                <w:t>1@51</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2"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4"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5"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6" w:history="1">
              <w:r>
                <w:rPr>
                  <w:rStyle w:val="Hyperlink"/>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t>Test Settings for DC_5A_n66A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7" w:history="1">
              <w:r>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8"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9" w:history="1">
              <w:r>
                <w:rPr>
                  <w:rStyle w:val="Hyperlink"/>
                  <w:rFonts w:cs="Arial"/>
                  <w:color w:val="000000"/>
                  <w:szCs w:val="18"/>
                </w:rPr>
                <w:t>1@0</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DC_5A_n78A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0" w:history="1">
              <w:r>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1" w:history="1">
              <w:r>
                <w:rPr>
                  <w:rStyle w:val="Hyperlink"/>
                  <w:rFonts w:cs="Arial"/>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2" w:history="1">
              <w:r>
                <w:rPr>
                  <w:rStyle w:val="Hyperlink"/>
                  <w:rFonts w:cs="Arial"/>
                  <w:color w:val="000000"/>
                  <w:szCs w:val="18"/>
                </w:rPr>
                <w:t>1@0</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3" w:history="1">
              <w:r>
                <w:rPr>
                  <w:rStyle w:val="Hyperlink"/>
                  <w:rFonts w:cs="Arial"/>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4" w:history="1">
              <w:r>
                <w:rPr>
                  <w:rStyle w:val="Hyperlink"/>
                  <w:rFonts w:cs="Arial"/>
                  <w:color w:val="000000"/>
                  <w:szCs w:val="18"/>
                </w:rPr>
                <w:t>1@0</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5" w:history="1">
              <w:r>
                <w:rPr>
                  <w:rStyle w:val="Hyperlink"/>
                  <w:rFonts w:cs="Arial"/>
                  <w:color w:val="000000"/>
                  <w:szCs w:val="18"/>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6" w:history="1">
              <w:r>
                <w:rPr>
                  <w:rStyle w:val="Hyperlink"/>
                </w:rPr>
                <w:t>1@105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7" w:history="1">
              <w:r>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8" w:history="1">
              <w:r>
                <w:rPr>
                  <w:rStyle w:val="Hyperlink"/>
                </w:rPr>
                <w:t>1@105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1@66</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bookmarkStart w:id="10" w:name="OLE_LINK16"/>
            <w:r>
              <w:t>Test Setting for DC_7A_n66A Configuration</w:t>
            </w:r>
            <w:bookmarkEnd w:id="10"/>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9"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0"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1" w:history="1">
              <w:r>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2"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3"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4"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5"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7" w:history="1">
              <w:r>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8"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9"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0"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1" w:history="1">
              <w:r>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2"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5"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rPr>
                <w:bCs/>
              </w:rPr>
              <w:t>Test Settings for DC_8A_n3A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1@85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7"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8" w:history="1">
              <w:r>
                <w:rPr>
                  <w:rStyle w:val="Hyperlink"/>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9"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0" w:history="1">
              <w:r>
                <w:rPr>
                  <w:rStyle w:val="Hyperlink"/>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1"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2" w:history="1">
              <w:r>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Test Settings for DC_11A_n77A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Test Settings for DC_11A_n78A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1@184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Test Settings for DC_11A_n79A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1@132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DC_12A_n66A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DC_12A_n78A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3" w:history="1">
              <w:r>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5" w:history="1">
              <w:r>
                <w:rPr>
                  <w:rStyle w:val="Hyperlink"/>
                </w:rPr>
                <w:t>1@136</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DC_13A_n2A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DC_25A_n41A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1@232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DC_26A_n79A Configuration</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N/A (Note 14)</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7" w:history="1">
              <w:r>
                <w:rPr>
                  <w:rStyle w:val="Hyperlink"/>
                </w:rPr>
                <w:t>1@159</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8"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DC_30A_n5A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DC_40A_n41A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1@269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1@98</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DC_41A_n79A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_n5</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_n66</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_n2</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1@46</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_n41</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1@248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1@218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1@203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rPr>
                <w:rFonts w:eastAsia="Yu Mincho"/>
              </w:rPr>
              <w:t>Test Settings for DC_66A_n78A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1@247</w:t>
            </w:r>
          </w:p>
        </w:tc>
      </w:tr>
      <w:tr>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t>Note 1:</w:t>
            </w:r>
            <w:r>
              <w:tab/>
              <w:t>Use DC Configuration – specific test points if present in the table, otherwise use test points from matching Group Test Settings, if present in the table. Otherwise use the Default Test Settings test points.</w:t>
            </w:r>
          </w:p>
          <w:p>
            <w:pPr>
              <w:pStyle w:val="TAN"/>
            </w:pPr>
            <w:r>
              <w:t>Note 2:</w:t>
            </w:r>
            <w:r>
              <w:tab/>
              <w:t>X, Y correspond to the different bands in the DC Configuration. E.g. for DC_1A_n3A, X=1, Y=3.</w:t>
            </w:r>
          </w:p>
          <w:p>
            <w:pPr>
              <w:pStyle w:val="TAN"/>
            </w:pPr>
            <w:r>
              <w:t>Note 3:</w:t>
            </w:r>
            <w:r>
              <w:tab/>
              <w:t>Test Point ID 2 for DC_3A_n79A have the centre carrier frequency of 4480.5 MHz in Band 79 (NR ARFCN=698700). Test Point ID 6 for DC_3A_n79A have the centre carrier frequency of 4909.5 MHz in Band 79 (</w:t>
            </w:r>
            <w:r>
              <w:rPr>
                <w:rFonts w:cs="Arial"/>
              </w:rPr>
              <w:t>NR ARFCN</w:t>
            </w:r>
            <w:r>
              <w:t>=727300).</w:t>
            </w:r>
          </w:p>
          <w:p>
            <w:pPr>
              <w:pStyle w:val="TAN"/>
            </w:pPr>
            <w:r>
              <w:t>Note 4:</w:t>
            </w:r>
            <w:r>
              <w:tab/>
              <w:t>Test Point ID 4 for DC_3A_n41A have the centre carrier frequency of 1773 MHz in Band 3 (EARFCN=</w:t>
            </w:r>
            <w:r>
              <w:rPr>
                <w:lang w:eastAsia="ja-JP"/>
              </w:rPr>
              <w:t>19830</w:t>
            </w:r>
            <w:r>
              <w:t>).</w:t>
            </w:r>
          </w:p>
          <w:p>
            <w:pPr>
              <w:pStyle w:val="TAN"/>
            </w:pPr>
            <w:r>
              <w:t>Note 5:</w:t>
            </w:r>
            <w:r>
              <w:tab/>
              <w:t>Test Point ID 4 for DC_39A_n79A have the centre carrier frequency of 4649.96 MHz in Band 79 (NR ARFCN=709998).</w:t>
            </w:r>
          </w:p>
          <w:p>
            <w:pPr>
              <w:pStyle w:val="TAN"/>
              <w:rPr>
                <w:rFonts w:cs="Arial"/>
              </w:rPr>
            </w:pPr>
            <w:r>
              <w:t>Note</w:t>
            </w:r>
            <w:r>
              <w:rPr>
                <w:rFonts w:cs="Arial"/>
              </w:rPr>
              <w:t xml:space="preserve"> </w:t>
            </w:r>
            <w:r>
              <w:t>6:</w:t>
            </w:r>
            <w:r>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pPr>
              <w:pStyle w:val="TAN"/>
              <w:rPr>
                <w:rFonts w:cs="Arial"/>
              </w:rPr>
            </w:pPr>
            <w:r>
              <w:rPr>
                <w:rFonts w:cs="Arial"/>
              </w:rPr>
              <w:t>Note 7:</w:t>
            </w:r>
            <w:r>
              <w:rPr>
                <w:rFonts w:cs="Arial"/>
              </w:rPr>
              <w:tab/>
              <w:t>Test Point ID 2 for DC_5A</w:t>
            </w:r>
            <w:r>
              <w:t>_n</w:t>
            </w:r>
            <w:r>
              <w:rPr>
                <w:rFonts w:cs="Arial"/>
              </w:rPr>
              <w:t>78A have the centre carrier frequency of 3494 MHz in Band 78 (NR ARFCN=</w:t>
            </w:r>
            <w:r>
              <w:rPr>
                <w:rFonts w:cs="Courier New"/>
              </w:rPr>
              <w:t>632932</w:t>
            </w:r>
            <w:r>
              <w:rPr>
                <w:rFonts w:cs="Arial"/>
              </w:rPr>
              <w:t>).</w:t>
            </w:r>
          </w:p>
          <w:p>
            <w:pPr>
              <w:pStyle w:val="TAN"/>
            </w:pPr>
            <w:r>
              <w:rPr>
                <w:rFonts w:cs="Arial"/>
              </w:rPr>
              <w:t>Note 8:</w:t>
            </w:r>
            <w:r>
              <w:rPr>
                <w:rFonts w:cs="Arial"/>
              </w:rPr>
              <w:tab/>
            </w:r>
            <w:r>
              <w:t>Test Point ID 3 for DC_1A_n78A have the centre carrier frequency of 3470 MHz in Band 78 (NR ARFCN=631332).</w:t>
            </w:r>
          </w:p>
          <w:p>
            <w:pPr>
              <w:pStyle w:val="TAN"/>
            </w:pPr>
            <w:r>
              <w:t>Note 9:</w:t>
            </w:r>
            <w:r>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pPr>
              <w:pStyle w:val="TAN"/>
            </w:pPr>
            <w:r>
              <w:t>Note 10:</w:t>
            </w:r>
            <w:r>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pPr>
              <w:pStyle w:val="TAN"/>
            </w:pPr>
            <w:r>
              <w:t>Note 11:</w:t>
            </w:r>
            <w:r>
              <w:tab/>
              <w:t>Test Point ID 5 for  have the centre carrier frequency of 3686,43 MHz in Band n78 (NR ARFCN=645762). Test Point ID 6 for  have the centre carrier frequency of 3494,94 MHz in Band n78 (NR ARFCN=632996).</w:t>
            </w:r>
          </w:p>
          <w:p>
            <w:pPr>
              <w:pStyle w:val="TAN"/>
            </w:pPr>
            <w:r>
              <w:t xml:space="preserve">Note 12: </w:t>
            </w:r>
            <w:r>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pPr>
              <w:pStyle w:val="TAN"/>
            </w:pPr>
            <w:r>
              <w:t>Note 13:</w:t>
            </w:r>
            <w:r>
              <w:tab/>
              <w:t>Test Point ID 6 for  have the centre carrier frequency of 3483,78 MHz in Band n78 (NR ARFCN=632252).</w:t>
            </w:r>
          </w:p>
          <w:p>
            <w:pPr>
              <w:pStyle w:val="TAN"/>
            </w:pPr>
            <w:r>
              <w:t>Note 14:</w:t>
            </w:r>
            <w:r>
              <w:tab/>
              <w:t>Test case not applicable for the EN-DC configuration as no IM products occurs in the protected bands.</w:t>
            </w:r>
          </w:p>
          <w:p>
            <w:pPr>
              <w:pStyle w:val="TAN"/>
            </w:pPr>
            <w:r>
              <w:t>Note 15:</w:t>
            </w:r>
            <w:r>
              <w:tab/>
              <w:t>Test Point ID 4 for  have the centre carrier frequency of 3488,55 MHz in Band n77 (NR ARFCN=632570).</w:t>
            </w:r>
          </w:p>
        </w:tc>
      </w:tr>
    </w:tbl>
    <w:p/>
    <w:p>
      <w:r>
        <w:t>Additional step 8</w:t>
      </w:r>
      <w:r>
        <w:rPr>
          <w:lang w:eastAsia="ja-JP"/>
        </w:rPr>
        <w:t xml:space="preserve"> </w:t>
      </w:r>
      <w:r>
        <w:t>when both bands are TDD:</w:t>
      </w:r>
    </w:p>
    <w:p>
      <w:pPr>
        <w:pStyle w:val="B10"/>
      </w:pPr>
      <w:r>
        <w:rPr>
          <w:lang w:eastAsia="ja-JP"/>
        </w:rPr>
        <w:t>8</w:t>
      </w:r>
      <w:r>
        <w:t>.</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pPr>
        <w:pStyle w:val="H6"/>
      </w:pPr>
      <w:r>
        <w:t>6.5B.3.3.2.4.2</w:t>
      </w:r>
      <w:r>
        <w:tab/>
      </w:r>
      <w:r>
        <w:rPr>
          <w:snapToGrid w:val="0"/>
        </w:rPr>
        <w:t>Test Procedure</w:t>
      </w:r>
    </w:p>
    <w:p>
      <w:r>
        <w:t xml:space="preserve">Same test procedure as described in clause 6.5B.3.1.2.4.2 with the following exceptions: </w:t>
      </w:r>
    </w:p>
    <w:p>
      <w:r>
        <w:tab/>
        <w:t xml:space="preserve">Instead of Table 6.5B.3.1.2.3-1 </w:t>
      </w:r>
      <w:r>
        <w:noBreakHyphen/>
      </w:r>
      <w:r>
        <w:noBreakHyphen/>
        <w:t>&gt; use Table 6.5B.3.3.2.5-1 and 6.5B.3.3.2.5-2.</w:t>
      </w:r>
    </w:p>
    <w:p>
      <w:r>
        <w:t>In addition to test configurations above, NSA only capable UEs needs to be tested according to LTE anchor agnostic approach below.</w:t>
      </w:r>
    </w:p>
    <w:p>
      <w:r>
        <w:t xml:space="preserve">Same test description as in clause 6.5.3.2.4 in TS 38.521-1 [8] for the NR carrier with the following exceptions: </w:t>
      </w:r>
    </w:p>
    <w:p>
      <w:r>
        <w:t>The initial test configurations for E-UTRA consist of test frequency based on E-UTRA operating band and test channel bandwidth as specified in Table 4.6-1.</w:t>
      </w:r>
    </w:p>
    <w:p>
      <w:r>
        <w:t>For Initial conditions as in clause 6.5.3.2.4.1 in TS 38.521-1 [8], the following steps will be added to configure E-UTRA component:</w:t>
      </w:r>
    </w:p>
    <w:p>
      <w:pPr>
        <w:pStyle w:val="B10"/>
      </w:pPr>
      <w:r>
        <w:lastRenderedPageBreak/>
        <w:t>2.1.</w:t>
      </w:r>
      <w:r>
        <w:tab/>
        <w:t>The parameter settings for the cell are set up according to TS 36.508 [11] clause 4.4.3.</w:t>
      </w:r>
    </w:p>
    <w:p>
      <w:pPr>
        <w:pStyle w:val="B10"/>
      </w:pPr>
      <w:r>
        <w:t>3.1.</w:t>
      </w:r>
      <w:r>
        <w:tab/>
        <w:t>The E-UTRA downlink signal level, uplink signal level are set according to Table 4.6-1 and propagation conditions are set according to Annex B.0 of TS 36.521-1 [10].</w:t>
      </w:r>
    </w:p>
    <w:p>
      <w:r>
        <w:t>Step 6 of Initial conditions as in clause 6.5.3.2.4.1 in TS 38.521-1 [8] is replaced by:</w:t>
      </w:r>
    </w:p>
    <w:p>
      <w:pPr>
        <w:pStyle w:val="B10"/>
      </w:pPr>
      <w:r>
        <w:t>6.</w:t>
      </w:r>
      <w:r>
        <w:tab/>
        <w:t xml:space="preserve">Ensure the UE is in state RRC_CONNECTED with generic procedure parameters Connectivity EN-DC, DC bearer MCG and SCG, Connected without release </w:t>
      </w:r>
      <w:r>
        <w:rPr>
          <w:i/>
        </w:rPr>
        <w:t>On</w:t>
      </w:r>
      <w:r>
        <w:t xml:space="preserve"> according to TS 38.508 [6] clause 4.5. </w:t>
      </w:r>
    </w:p>
    <w:p>
      <w:pPr>
        <w:pStyle w:val="B10"/>
      </w:pPr>
      <w:r>
        <w:t>7.</w:t>
      </w:r>
      <w:r>
        <w:tab/>
        <w:t xml:space="preserve">On the E-UTRA carrier, disable periodic and aperiodic CQI reports, disable SRS, set </w:t>
      </w:r>
      <w:r>
        <w:rPr>
          <w:i/>
          <w:iCs/>
        </w:rPr>
        <w:t>TimeAlignmentTimerDedicated</w:t>
      </w:r>
      <w:r>
        <w:t xml:space="preserve"> IE to infinity and disable downlink and uplink scheduling, all as per Table 4.6-1 under clause 4.6.</w:t>
      </w:r>
    </w:p>
    <w:p>
      <w:pPr>
        <w:pStyle w:val="H6"/>
      </w:pPr>
      <w:r>
        <w:t>6.5B.3.3.2.4.3</w:t>
      </w:r>
      <w:r>
        <w:tab/>
      </w:r>
      <w:r>
        <w:rPr>
          <w:snapToGrid w:val="0"/>
        </w:rPr>
        <w:t>Message Contents</w:t>
      </w:r>
    </w:p>
    <w:p>
      <w:r>
        <w:t>Message contents are according to TS 36.508 [11] clause 4.6.1 and TS 38.508-1 [6] clause 4.6.1 with the following exceptions.</w:t>
      </w:r>
    </w:p>
    <w:p>
      <w:pPr>
        <w:pStyle w:val="TH"/>
      </w:pPr>
      <w:r>
        <w:t>Table 6.5B.3.3.</w:t>
      </w:r>
      <w:r>
        <w:rPr>
          <w:lang w:eastAsia="ja-JP"/>
        </w:rPr>
        <w:t>2</w:t>
      </w:r>
      <w:r>
        <w:t>.4.3-</w:t>
      </w:r>
      <w:r>
        <w:rPr>
          <w:lang w:eastAsia="ja-JP"/>
        </w:rPr>
        <w:t>1</w:t>
      </w:r>
      <w:r>
        <w:t xml:space="preserve">: </w:t>
      </w:r>
      <w:r>
        <w:rPr>
          <w:i/>
          <w:iCs/>
        </w:rPr>
        <w:t>SystemInfomationBlockType1:</w:t>
      </w:r>
      <w:r>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tc>
          <w:tcPr>
            <w:tcW w:w="9781" w:type="dxa"/>
            <w:gridSpan w:val="4"/>
          </w:tcPr>
          <w:p>
            <w:pPr>
              <w:pStyle w:val="TAL"/>
            </w:pPr>
            <w:r>
              <w:t>Derivation Path: TS 36.508 [11], Table 4.6.3-23</w:t>
            </w:r>
          </w:p>
        </w:tc>
      </w:tr>
      <w:tr>
        <w:tblPrEx>
          <w:tblCellMar>
            <w:left w:w="108" w:type="dxa"/>
            <w:right w:w="108" w:type="dxa"/>
          </w:tblCellMar>
        </w:tblPrEx>
        <w:tc>
          <w:tcPr>
            <w:tcW w:w="4537" w:type="dxa"/>
          </w:tcPr>
          <w:p>
            <w:pPr>
              <w:pStyle w:val="TAH"/>
            </w:pPr>
            <w:r>
              <w:t>Information Element</w:t>
            </w:r>
          </w:p>
        </w:tc>
        <w:tc>
          <w:tcPr>
            <w:tcW w:w="2268" w:type="dxa"/>
          </w:tcPr>
          <w:p>
            <w:pPr>
              <w:pStyle w:val="TAH"/>
            </w:pPr>
            <w:r>
              <w:t>Value/remark</w:t>
            </w:r>
          </w:p>
        </w:tc>
        <w:tc>
          <w:tcPr>
            <w:tcW w:w="1701" w:type="dxa"/>
          </w:tcPr>
          <w:p>
            <w:pPr>
              <w:pStyle w:val="TAH"/>
            </w:pPr>
            <w:r>
              <w:t>Comment</w:t>
            </w:r>
          </w:p>
        </w:tc>
        <w:tc>
          <w:tcPr>
            <w:tcW w:w="1275" w:type="dxa"/>
          </w:tcPr>
          <w:p>
            <w:pPr>
              <w:pStyle w:val="TAH"/>
            </w:pPr>
            <w:r>
              <w:t>Condition</w:t>
            </w: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TDD-Config-DEFAULT  ::= SEQUENCE {</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Pr>
          <w:p>
            <w:pPr>
              <w:pStyle w:val="TAL"/>
            </w:pPr>
          </w:p>
        </w:tc>
      </w:tr>
      <w:tr>
        <w:tblPrEx>
          <w:tblCellMar>
            <w:left w:w="108" w:type="dxa"/>
            <w:right w:w="108" w:type="dxa"/>
          </w:tblCellMar>
        </w:tblPrEx>
        <w:tc>
          <w:tcPr>
            <w:tcW w:w="4537" w:type="dxa"/>
          </w:tcPr>
          <w:p>
            <w:pPr>
              <w:pStyle w:val="TAL"/>
            </w:pPr>
            <w:r>
              <w:t xml:space="preserve">  subframeAssignment</w:t>
            </w:r>
          </w:p>
        </w:tc>
        <w:tc>
          <w:tcPr>
            <w:tcW w:w="2268" w:type="dxa"/>
          </w:tcPr>
          <w:p>
            <w:pPr>
              <w:pStyle w:val="TAL"/>
            </w:pPr>
            <w:r>
              <w:t>Sa2</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Pr>
          <w:p>
            <w:pPr>
              <w:pStyle w:val="TAL"/>
            </w:pPr>
            <w:r>
              <w:t xml:space="preserve">  specialSubframePatterns</w:t>
            </w:r>
          </w:p>
        </w:tc>
        <w:tc>
          <w:tcPr>
            <w:tcW w:w="2268" w:type="dxa"/>
          </w:tcPr>
          <w:p>
            <w:pPr>
              <w:pStyle w:val="TAL"/>
              <w:rPr>
                <w:lang w:eastAsia="ja-JP"/>
              </w:rPr>
            </w:pPr>
            <w:r>
              <w:t>Ssp</w:t>
            </w:r>
            <w:r>
              <w:rPr>
                <w:lang w:eastAsia="ja-JP"/>
              </w:rPr>
              <w:t>7</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275" w:type="dxa"/>
            <w:tcBorders>
              <w:top w:val="single" w:sz="4" w:space="0" w:color="auto"/>
              <w:left w:val="single" w:sz="4" w:space="0" w:color="auto"/>
              <w:bottom w:val="single" w:sz="4" w:space="0" w:color="auto"/>
              <w:right w:val="single" w:sz="4" w:space="0" w:color="auto"/>
            </w:tcBorders>
          </w:tcPr>
          <w:p>
            <w:pPr>
              <w:pStyle w:val="TAL"/>
            </w:pPr>
          </w:p>
        </w:tc>
      </w:tr>
    </w:tbl>
    <w:p/>
    <w:p>
      <w:pPr>
        <w:pStyle w:val="TH"/>
      </w:pPr>
      <w:r>
        <w:t>Table 6.</w:t>
      </w:r>
      <w:r>
        <w:rPr>
          <w:rFonts w:eastAsia="SimSun"/>
        </w:rPr>
        <w:t>5</w:t>
      </w:r>
      <w:r>
        <w:t>B</w:t>
      </w:r>
      <w:r>
        <w:rPr>
          <w:rFonts w:eastAsia="SimSun"/>
        </w:rPr>
        <w:t>3</w:t>
      </w:r>
      <w:r>
        <w:t>.3.</w:t>
      </w:r>
      <w:r>
        <w:rPr>
          <w:rFonts w:eastAsia="SimSun"/>
        </w:rPr>
        <w:t>2.4.</w:t>
      </w:r>
      <w:r>
        <w:t>3-</w:t>
      </w:r>
      <w:r>
        <w:rPr>
          <w:rFonts w:eastAsia="SimSun"/>
        </w:rPr>
        <w:t>1a</w:t>
      </w:r>
      <w:r>
        <w:t>: Void</w:t>
      </w:r>
    </w:p>
    <w:p>
      <w:pPr>
        <w:rPr>
          <w:lang w:eastAsia="ja-JP"/>
        </w:rPr>
      </w:pPr>
    </w:p>
    <w:p>
      <w:pPr>
        <w:pStyle w:val="TH"/>
      </w:pPr>
      <w:r>
        <w:t>Table 6.5B.3.3.</w:t>
      </w:r>
      <w:r>
        <w:rPr>
          <w:lang w:eastAsia="ja-JP"/>
        </w:rPr>
        <w:t>2</w:t>
      </w:r>
      <w:r>
        <w:t>.4.3-</w:t>
      </w:r>
      <w:r>
        <w:rPr>
          <w:lang w:eastAsia="ja-JP"/>
        </w:rPr>
        <w:t>2</w:t>
      </w:r>
      <w:r>
        <w:t xml:space="preserve">: </w:t>
      </w:r>
      <w:r>
        <w:rPr>
          <w:i/>
          <w:iCs/>
        </w:rPr>
        <w:t>RRCConnectionReconfiguration</w:t>
      </w:r>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 AND simultaneous E-UTRA and NR transmission</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 AND simultaneous E-UTRA and NR transmission</w:t>
            </w:r>
          </w:p>
        </w:tc>
      </w:tr>
    </w:tbl>
    <w:p/>
    <w:p>
      <w:pPr>
        <w:pStyle w:val="TH"/>
      </w:pPr>
      <w:r>
        <w:t>Table 6.5B.3.3.</w:t>
      </w:r>
      <w:r>
        <w:rPr>
          <w:lang w:eastAsia="ja-JP"/>
        </w:rPr>
        <w:t>2</w:t>
      </w:r>
      <w:r>
        <w:t xml:space="preserve">.4.3-3: </w:t>
      </w:r>
      <w:r>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 AND simultaneous E-UTRA and NR transmission</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 AND simultaneous E-UTRA and NR transmission</w:t>
            </w:r>
          </w:p>
        </w:tc>
      </w:tr>
    </w:tbl>
    <w:p/>
    <w:p>
      <w:pPr>
        <w:pStyle w:val="H6"/>
      </w:pPr>
      <w:r>
        <w:t>6.5B.3.3.2.5</w:t>
      </w:r>
      <w:r>
        <w:tab/>
        <w:t>Test Requirement</w:t>
      </w:r>
    </w:p>
    <w:p>
      <w:r>
        <w:t>The test requirements are in Table 6.5B.3.3.2.5-1 and Table 6.5B.3.3.2.5-2. For EN-DC only capable devices, in addition to Table 6.5B.3.3.2.5-1 and Table 6.5B.3.3.2.5-2, the test requirements as in clause 6.5.3.2.5 in TS 38.521-1 [8] are also needed.</w:t>
      </w:r>
    </w:p>
    <w:p>
      <w:pPr>
        <w:pStyle w:val="TH"/>
      </w:pPr>
      <w:r>
        <w:lastRenderedPageBreak/>
        <w:t>Table 6.5B.3.3.2.5-1: Requirements for inter-band within FR1 for Rel-15</w:t>
      </w:r>
    </w:p>
    <w:tbl>
      <w:tblPr>
        <w:tblW w:w="9776" w:type="dxa"/>
        <w:jc w:val="center"/>
        <w:tblLayout w:type="fixed"/>
        <w:tblLook w:val="04A0" w:firstRow="1" w:lastRow="0" w:firstColumn="1" w:lastColumn="0" w:noHBand="0" w:noVBand="1"/>
      </w:tblPr>
      <w:tblGrid>
        <w:gridCol w:w="1696"/>
        <w:gridCol w:w="2835"/>
        <w:gridCol w:w="851"/>
        <w:gridCol w:w="567"/>
        <w:gridCol w:w="850"/>
        <w:gridCol w:w="993"/>
        <w:gridCol w:w="850"/>
        <w:gridCol w:w="1134"/>
      </w:tblGrid>
      <w:tr>
        <w:trPr>
          <w:trHeight w:val="226"/>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EN-DC Configuration</w:t>
            </w:r>
          </w:p>
        </w:tc>
        <w:tc>
          <w:tcPr>
            <w:tcW w:w="8080" w:type="dxa"/>
            <w:gridSpan w:val="7"/>
            <w:tcBorders>
              <w:top w:val="single" w:sz="4" w:space="0" w:color="auto"/>
              <w:left w:val="nil"/>
              <w:bottom w:val="single" w:sz="4" w:space="0" w:color="auto"/>
              <w:right w:val="single" w:sz="4" w:space="0" w:color="auto"/>
            </w:tcBorders>
            <w:hideMark/>
          </w:tcPr>
          <w:p>
            <w:pPr>
              <w:pStyle w:val="TAH"/>
            </w:pPr>
            <w:r>
              <w:t xml:space="preserve">Spurious emission </w:t>
            </w:r>
          </w:p>
        </w:tc>
      </w:tr>
      <w:tr>
        <w:trPr>
          <w:trHeight w:val="376"/>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35" w:type="dxa"/>
            <w:tcBorders>
              <w:top w:val="single" w:sz="4" w:space="0" w:color="auto"/>
              <w:left w:val="nil"/>
              <w:bottom w:val="single" w:sz="4" w:space="0" w:color="auto"/>
              <w:right w:val="single" w:sz="4" w:space="0" w:color="auto"/>
            </w:tcBorders>
            <w:hideMark/>
          </w:tcPr>
          <w:p>
            <w:pPr>
              <w:pStyle w:val="TAH"/>
            </w:pPr>
            <w:r>
              <w:t>Protected band</w:t>
            </w:r>
          </w:p>
        </w:tc>
        <w:tc>
          <w:tcPr>
            <w:tcW w:w="2268" w:type="dxa"/>
            <w:gridSpan w:val="3"/>
            <w:tcBorders>
              <w:top w:val="single" w:sz="4" w:space="0" w:color="auto"/>
              <w:left w:val="nil"/>
              <w:bottom w:val="single" w:sz="4" w:space="0" w:color="auto"/>
              <w:right w:val="single" w:sz="4" w:space="0" w:color="auto"/>
            </w:tcBorders>
            <w:hideMark/>
          </w:tcPr>
          <w:p>
            <w:pPr>
              <w:pStyle w:val="TAH"/>
            </w:pPr>
            <w:r>
              <w:t>Frequency range (MHz)</w:t>
            </w:r>
          </w:p>
        </w:tc>
        <w:tc>
          <w:tcPr>
            <w:tcW w:w="993" w:type="dxa"/>
            <w:tcBorders>
              <w:top w:val="single" w:sz="4" w:space="0" w:color="auto"/>
              <w:left w:val="nil"/>
              <w:bottom w:val="single" w:sz="4" w:space="0" w:color="auto"/>
              <w:right w:val="single" w:sz="4" w:space="0" w:color="auto"/>
            </w:tcBorders>
            <w:hideMark/>
          </w:tcPr>
          <w:p>
            <w:pPr>
              <w:pStyle w:val="TAH"/>
            </w:pPr>
            <w:r>
              <w:t>Maximum Level (dBm)</w:t>
            </w:r>
          </w:p>
        </w:tc>
        <w:tc>
          <w:tcPr>
            <w:tcW w:w="850" w:type="dxa"/>
            <w:tcBorders>
              <w:top w:val="single" w:sz="4" w:space="0" w:color="auto"/>
              <w:left w:val="nil"/>
              <w:bottom w:val="single" w:sz="4" w:space="0" w:color="auto"/>
              <w:right w:val="single" w:sz="4" w:space="0" w:color="auto"/>
            </w:tcBorders>
            <w:hideMark/>
          </w:tcPr>
          <w:p>
            <w:pPr>
              <w:pStyle w:val="TAH"/>
            </w:pPr>
            <w:r>
              <w:t>MBW (MHz)</w:t>
            </w:r>
          </w:p>
        </w:tc>
        <w:tc>
          <w:tcPr>
            <w:tcW w:w="1134" w:type="dxa"/>
            <w:tcBorders>
              <w:top w:val="single" w:sz="4" w:space="0" w:color="auto"/>
              <w:left w:val="nil"/>
              <w:bottom w:val="single" w:sz="4" w:space="0" w:color="auto"/>
              <w:right w:val="single" w:sz="4" w:space="0" w:color="auto"/>
            </w:tcBorders>
            <w:noWrap/>
            <w:hideMark/>
          </w:tcPr>
          <w:p>
            <w:pPr>
              <w:pStyle w:val="TAH"/>
            </w:pPr>
            <w:r>
              <w:t>NOTE</w:t>
            </w:r>
          </w:p>
        </w:tc>
      </w:tr>
      <w:tr>
        <w:trPr>
          <w:trHeight w:val="77"/>
          <w:jc w:val="center"/>
        </w:trPr>
        <w:tc>
          <w:tcPr>
            <w:tcW w:w="1696" w:type="dxa"/>
            <w:vMerge w:val="restart"/>
            <w:tcBorders>
              <w:left w:val="single" w:sz="4" w:space="0" w:color="auto"/>
              <w:right w:val="single" w:sz="4" w:space="0" w:color="auto"/>
            </w:tcBorders>
          </w:tcPr>
          <w:p>
            <w:pPr>
              <w:pStyle w:val="TAH"/>
              <w:rPr>
                <w:rFonts w:eastAsia="Malgun Gothic"/>
              </w:rPr>
            </w:pPr>
            <w:r>
              <w:t>DC_1_n78</w:t>
            </w:r>
          </w:p>
        </w:tc>
        <w:tc>
          <w:tcPr>
            <w:tcW w:w="2835" w:type="dxa"/>
            <w:tcBorders>
              <w:top w:val="single" w:sz="4" w:space="0" w:color="auto"/>
              <w:left w:val="nil"/>
              <w:bottom w:val="single" w:sz="4" w:space="0" w:color="auto"/>
              <w:right w:val="single" w:sz="4" w:space="0" w:color="auto"/>
            </w:tcBorders>
          </w:tcPr>
          <w:p>
            <w:pPr>
              <w:pStyle w:val="TAL"/>
            </w:pPr>
            <w:r>
              <w:rPr>
                <w:rFonts w:eastAsia="Malgun Gothic"/>
              </w:rPr>
              <w:t>E-UTRA Band 3, 11, 21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tcPr>
          <w:p>
            <w:pPr>
              <w:pStyle w:val="TAC"/>
              <w:rPr>
                <w:rFonts w:eastAsia="Malgun Gothic"/>
              </w:rPr>
            </w:pPr>
            <w:bookmarkStart w:id="11" w:name="OLE_LINK14"/>
            <w:r>
              <w:t>-50</w:t>
            </w:r>
            <w:bookmarkEnd w:id="11"/>
          </w:p>
        </w:tc>
        <w:tc>
          <w:tcPr>
            <w:tcW w:w="850"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6" w:type="dxa"/>
            <w:vMerge/>
            <w:tcBorders>
              <w:left w:val="single" w:sz="4" w:space="0" w:color="auto"/>
              <w:bottom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t>1880</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t>1895</w:t>
            </w:r>
          </w:p>
        </w:tc>
        <w:tc>
          <w:tcPr>
            <w:tcW w:w="993" w:type="dxa"/>
            <w:tcBorders>
              <w:top w:val="single" w:sz="4" w:space="0" w:color="auto"/>
              <w:left w:val="nil"/>
              <w:bottom w:val="single" w:sz="4" w:space="0" w:color="auto"/>
              <w:right w:val="single" w:sz="4" w:space="0" w:color="auto"/>
            </w:tcBorders>
          </w:tcPr>
          <w:p>
            <w:pPr>
              <w:pStyle w:val="TAC"/>
              <w:rPr>
                <w:rFonts w:eastAsia="Malgun Gothic"/>
              </w:rPr>
            </w:pPr>
            <w:r>
              <w:t>-40</w:t>
            </w:r>
          </w:p>
        </w:tc>
        <w:tc>
          <w:tcPr>
            <w:tcW w:w="850"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r>
              <w:t>5, 8</w:t>
            </w:r>
          </w:p>
        </w:tc>
      </w:tr>
      <w:tr>
        <w:trPr>
          <w:trHeight w:val="77"/>
          <w:jc w:val="center"/>
        </w:trPr>
        <w:tc>
          <w:tcPr>
            <w:tcW w:w="1696" w:type="dxa"/>
            <w:vMerge w:val="restart"/>
            <w:tcBorders>
              <w:left w:val="single" w:sz="4" w:space="0" w:color="auto"/>
              <w:right w:val="single" w:sz="4" w:space="0" w:color="auto"/>
            </w:tcBorders>
          </w:tcPr>
          <w:p>
            <w:pPr>
              <w:pStyle w:val="TAH"/>
              <w:rPr>
                <w:rFonts w:eastAsia="Calibri Light"/>
              </w:rPr>
            </w:pPr>
            <w:r>
              <w:t>DC_2_n5</w:t>
            </w:r>
          </w:p>
        </w:tc>
        <w:tc>
          <w:tcPr>
            <w:tcW w:w="2835" w:type="dxa"/>
            <w:tcBorders>
              <w:top w:val="single" w:sz="4" w:space="0" w:color="auto"/>
              <w:left w:val="nil"/>
              <w:bottom w:val="single" w:sz="4" w:space="0" w:color="auto"/>
              <w:right w:val="single" w:sz="4" w:space="0" w:color="auto"/>
            </w:tcBorders>
          </w:tcPr>
          <w:p>
            <w:pPr>
              <w:pStyle w:val="TAL"/>
            </w:pPr>
            <w:r>
              <w:t>E-UTRA Band 42, 48</w:t>
            </w:r>
          </w:p>
        </w:tc>
        <w:tc>
          <w:tcPr>
            <w:tcW w:w="851"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850"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77"/>
          <w:jc w:val="center"/>
        </w:trPr>
        <w:tc>
          <w:tcPr>
            <w:tcW w:w="1696" w:type="dxa"/>
            <w:vMerge/>
            <w:tcBorders>
              <w:left w:val="single" w:sz="4" w:space="0" w:color="auto"/>
              <w:bottom w:val="single" w:sz="4" w:space="0" w:color="auto"/>
              <w:right w:val="single" w:sz="4" w:space="0" w:color="auto"/>
            </w:tcBorders>
          </w:tcPr>
          <w:p>
            <w:pPr>
              <w:pStyle w:val="TAH"/>
            </w:pPr>
          </w:p>
        </w:tc>
        <w:tc>
          <w:tcPr>
            <w:tcW w:w="2835" w:type="dxa"/>
            <w:tcBorders>
              <w:top w:val="single" w:sz="4" w:space="0" w:color="auto"/>
              <w:left w:val="nil"/>
              <w:bottom w:val="single" w:sz="4" w:space="0" w:color="auto"/>
              <w:right w:val="single" w:sz="4" w:space="0" w:color="auto"/>
            </w:tcBorders>
          </w:tcPr>
          <w:p>
            <w:pPr>
              <w:pStyle w:val="TAL"/>
            </w:pPr>
            <w:r>
              <w:t>E-UTRA Band 41, 43</w:t>
            </w:r>
          </w:p>
        </w:tc>
        <w:tc>
          <w:tcPr>
            <w:tcW w:w="851"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850"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77"/>
          <w:jc w:val="center"/>
        </w:trPr>
        <w:tc>
          <w:tcPr>
            <w:tcW w:w="1696" w:type="dxa"/>
            <w:vMerge w:val="restart"/>
            <w:tcBorders>
              <w:left w:val="single" w:sz="4" w:space="0" w:color="auto"/>
              <w:right w:val="single" w:sz="4" w:space="0" w:color="auto"/>
            </w:tcBorders>
          </w:tcPr>
          <w:p>
            <w:pPr>
              <w:pStyle w:val="TAH"/>
              <w:rPr>
                <w:rFonts w:eastAsia="Malgun Gothic"/>
              </w:rPr>
            </w:pPr>
            <w:r>
              <w:t>DC_2_n66</w:t>
            </w:r>
          </w:p>
        </w:tc>
        <w:tc>
          <w:tcPr>
            <w:tcW w:w="2835" w:type="dxa"/>
            <w:tcBorders>
              <w:top w:val="single" w:sz="4" w:space="0" w:color="auto"/>
              <w:left w:val="nil"/>
              <w:bottom w:val="single" w:sz="4" w:space="0" w:color="auto"/>
              <w:right w:val="single" w:sz="4" w:space="0" w:color="auto"/>
            </w:tcBorders>
          </w:tcPr>
          <w:p>
            <w:pPr>
              <w:pStyle w:val="TAL"/>
            </w:pPr>
            <w:r>
              <w:rPr>
                <w:rFonts w:eastAsia="Malgun Gothic"/>
              </w:rPr>
              <w:t>E-UTRA Band 4, 10, 24, 50, 66, 70, 74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6" w:type="dxa"/>
            <w:vMerge/>
            <w:tcBorders>
              <w:left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tcPr>
          <w:p>
            <w:pPr>
              <w:pStyle w:val="TAL"/>
            </w:pPr>
            <w:r>
              <w:rPr>
                <w:rFonts w:eastAsia="Malgun Gothic"/>
              </w:rPr>
              <w:t>E-UTRA Band 2, 25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850"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r>
              <w:t>5</w:t>
            </w:r>
          </w:p>
        </w:tc>
      </w:tr>
      <w:tr>
        <w:trPr>
          <w:trHeight w:val="77"/>
          <w:jc w:val="center"/>
        </w:trPr>
        <w:tc>
          <w:tcPr>
            <w:tcW w:w="1696" w:type="dxa"/>
            <w:vMerge/>
            <w:tcBorders>
              <w:left w:val="single" w:sz="4" w:space="0" w:color="auto"/>
              <w:bottom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tcPr>
          <w:p>
            <w:pPr>
              <w:pStyle w:val="TAL"/>
            </w:pPr>
            <w:r>
              <w:rPr>
                <w:rFonts w:eastAsia="Malgun Gothic"/>
              </w:rPr>
              <w:t>E-UTRA Band 42, 48</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850"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trHeight w:val="77"/>
          <w:jc w:val="center"/>
        </w:trPr>
        <w:tc>
          <w:tcPr>
            <w:tcW w:w="1696" w:type="dxa"/>
            <w:vMerge w:val="restart"/>
            <w:tcBorders>
              <w:left w:val="single" w:sz="4" w:space="0" w:color="auto"/>
              <w:right w:val="single" w:sz="4" w:space="0" w:color="auto"/>
            </w:tcBorders>
          </w:tcPr>
          <w:p>
            <w:pPr>
              <w:pStyle w:val="TAH"/>
              <w:rPr>
                <w:rFonts w:eastAsia="Malgun Gothic"/>
              </w:rPr>
            </w:pPr>
            <w:r>
              <w:t>DC_2_n78</w:t>
            </w:r>
          </w:p>
        </w:tc>
        <w:tc>
          <w:tcPr>
            <w:tcW w:w="2835" w:type="dxa"/>
            <w:tcBorders>
              <w:top w:val="single" w:sz="4" w:space="0" w:color="auto"/>
              <w:left w:val="nil"/>
              <w:bottom w:val="single" w:sz="4" w:space="0" w:color="auto"/>
              <w:right w:val="single" w:sz="4" w:space="0" w:color="auto"/>
            </w:tcBorders>
          </w:tcPr>
          <w:p>
            <w:pPr>
              <w:pStyle w:val="TAL"/>
            </w:pPr>
            <w:r>
              <w:rPr>
                <w:rFonts w:eastAsia="Malgun Gothic"/>
              </w:rPr>
              <w:t>E-UTRA Band 24, 50, 51, 74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850"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6" w:type="dxa"/>
            <w:vMerge/>
            <w:tcBorders>
              <w:left w:val="single" w:sz="4" w:space="0" w:color="auto"/>
              <w:bottom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tcPr>
          <w:p>
            <w:pPr>
              <w:pStyle w:val="TAL"/>
            </w:pPr>
            <w:r>
              <w:t>E-UTRA Band 2, 25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850"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trHeight w:val="77"/>
          <w:jc w:val="center"/>
        </w:trPr>
        <w:tc>
          <w:tcPr>
            <w:tcW w:w="1696" w:type="dxa"/>
            <w:vMerge w:val="restart"/>
            <w:tcBorders>
              <w:left w:val="single" w:sz="4" w:space="0" w:color="auto"/>
              <w:right w:val="single" w:sz="4" w:space="0" w:color="auto"/>
            </w:tcBorders>
          </w:tcPr>
          <w:p>
            <w:pPr>
              <w:pStyle w:val="TAH"/>
              <w:rPr>
                <w:rFonts w:eastAsia="Malgun Gothic"/>
              </w:rPr>
            </w:pPr>
            <w:r>
              <w:t>DC_3_n7</w:t>
            </w:r>
          </w:p>
        </w:tc>
        <w:tc>
          <w:tcPr>
            <w:tcW w:w="2835" w:type="dxa"/>
            <w:tcBorders>
              <w:top w:val="single" w:sz="4" w:space="0" w:color="auto"/>
              <w:left w:val="nil"/>
              <w:bottom w:val="single" w:sz="4" w:space="0" w:color="auto"/>
              <w:right w:val="single" w:sz="4" w:space="0" w:color="auto"/>
            </w:tcBorders>
          </w:tcPr>
          <w:p>
            <w:pPr>
              <w:pStyle w:val="TAL"/>
            </w:pPr>
            <w:r>
              <w:t>E-UTRA Band 5, 8, 20, 26, 27, 28, 44, 67</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850"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6" w:type="dxa"/>
            <w:vMerge/>
            <w:tcBorders>
              <w:left w:val="single" w:sz="4" w:space="0" w:color="auto"/>
              <w:bottom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tcPr>
          <w:p>
            <w:pPr>
              <w:pStyle w:val="TAL"/>
            </w:pPr>
            <w:r>
              <w:t>E-UTRA Band 42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850"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trHeight w:val="77"/>
          <w:jc w:val="center"/>
        </w:trPr>
        <w:tc>
          <w:tcPr>
            <w:tcW w:w="1696" w:type="dxa"/>
            <w:vMerge w:val="restart"/>
            <w:tcBorders>
              <w:left w:val="single" w:sz="4" w:space="0" w:color="auto"/>
              <w:right w:val="single" w:sz="4" w:space="0" w:color="auto"/>
            </w:tcBorders>
          </w:tcPr>
          <w:p>
            <w:pPr>
              <w:pStyle w:val="TAH"/>
              <w:rPr>
                <w:rFonts w:eastAsia="Malgun Gothic"/>
              </w:rPr>
            </w:pPr>
            <w:r>
              <w:rPr>
                <w:rFonts w:eastAsia="Malgun Gothic"/>
              </w:rPr>
              <w:t>DC_3_n41</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 xml:space="preserve">E-UTRA Band 5, 8, 20, 26, 27, </w:t>
            </w:r>
            <w:r>
              <w:rPr>
                <w:rFonts w:eastAsia="Yu Mincho"/>
              </w:rPr>
              <w:t>2</w:t>
            </w:r>
            <w:r>
              <w:rPr>
                <w:rFonts w:eastAsia="Malgun Gothic"/>
              </w:rPr>
              <w:t>8</w:t>
            </w:r>
            <w:r>
              <w:rPr>
                <w:rFonts w:eastAsia="Yu Mincho"/>
              </w:rPr>
              <w:t xml:space="preserve">, </w:t>
            </w:r>
            <w:r>
              <w:rPr>
                <w:rFonts w:eastAsia="Malgun Gothic"/>
              </w:rPr>
              <w:t>44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77"/>
          <w:jc w:val="center"/>
        </w:trPr>
        <w:tc>
          <w:tcPr>
            <w:tcW w:w="1696" w:type="dxa"/>
            <w:vMerge/>
            <w:tcBorders>
              <w:left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18, 19</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850"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14, 20</w:t>
            </w:r>
          </w:p>
        </w:tc>
      </w:tr>
      <w:tr>
        <w:trPr>
          <w:trHeight w:val="77"/>
          <w:jc w:val="center"/>
        </w:trPr>
        <w:tc>
          <w:tcPr>
            <w:tcW w:w="1696" w:type="dxa"/>
            <w:vMerge/>
            <w:tcBorders>
              <w:left w:val="single" w:sz="4" w:space="0" w:color="auto"/>
              <w:bottom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42,</w:t>
            </w:r>
          </w:p>
          <w:p>
            <w:pPr>
              <w:pStyle w:val="TAL"/>
              <w:rPr>
                <w:rFonts w:eastAsia="Malgun Gothic"/>
              </w:rPr>
            </w:pPr>
            <w:r>
              <w:rPr>
                <w:rFonts w:eastAsia="Malgun Gothic"/>
              </w:rPr>
              <w:t>NR Band n77, n78, n79</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850"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trHeight w:val="77"/>
          <w:jc w:val="center"/>
        </w:trPr>
        <w:tc>
          <w:tcPr>
            <w:tcW w:w="1696" w:type="dxa"/>
            <w:vMerge w:val="restart"/>
            <w:tcBorders>
              <w:left w:val="single" w:sz="4" w:space="0" w:color="auto"/>
              <w:right w:val="single" w:sz="4" w:space="0" w:color="auto"/>
            </w:tcBorders>
          </w:tcPr>
          <w:p>
            <w:pPr>
              <w:pStyle w:val="TAH"/>
              <w:rPr>
                <w:rFonts w:eastAsia="Malgun Gothic"/>
              </w:rPr>
            </w:pPr>
            <w:r>
              <w:t>DC_3_n78</w:t>
            </w:r>
          </w:p>
        </w:tc>
        <w:tc>
          <w:tcPr>
            <w:tcW w:w="2835" w:type="dxa"/>
            <w:tcBorders>
              <w:top w:val="single" w:sz="4" w:space="0" w:color="auto"/>
              <w:left w:val="nil"/>
              <w:bottom w:val="single" w:sz="4" w:space="0" w:color="auto"/>
              <w:right w:val="single" w:sz="4" w:space="0" w:color="auto"/>
            </w:tcBorders>
          </w:tcPr>
          <w:p>
            <w:pPr>
              <w:pStyle w:val="TAL"/>
            </w:pPr>
            <w:r>
              <w:t>E-UTRA Band 3, 34, 39</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850"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6" w:type="dxa"/>
            <w:vMerge/>
            <w:tcBorders>
              <w:left w:val="single" w:sz="4" w:space="0" w:color="auto"/>
              <w:bottom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t>1884.5</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t>1915.7</w:t>
            </w:r>
          </w:p>
        </w:tc>
        <w:tc>
          <w:tcPr>
            <w:tcW w:w="993" w:type="dxa"/>
            <w:tcBorders>
              <w:top w:val="single" w:sz="4" w:space="0" w:color="auto"/>
              <w:left w:val="nil"/>
              <w:bottom w:val="single" w:sz="4" w:space="0" w:color="auto"/>
              <w:right w:val="single" w:sz="4" w:space="0" w:color="auto"/>
            </w:tcBorders>
          </w:tcPr>
          <w:p>
            <w:pPr>
              <w:pStyle w:val="TAC"/>
              <w:rPr>
                <w:rFonts w:eastAsia="Malgun Gothic"/>
              </w:rPr>
            </w:pPr>
            <w:r>
              <w:t>-41</w:t>
            </w:r>
          </w:p>
        </w:tc>
        <w:tc>
          <w:tcPr>
            <w:tcW w:w="850" w:type="dxa"/>
            <w:tcBorders>
              <w:top w:val="single" w:sz="4" w:space="0" w:color="auto"/>
              <w:left w:val="nil"/>
              <w:bottom w:val="single" w:sz="4" w:space="0" w:color="auto"/>
              <w:right w:val="single" w:sz="4" w:space="0" w:color="auto"/>
            </w:tcBorders>
            <w:noWrap/>
          </w:tcPr>
          <w:p>
            <w:pPr>
              <w:pStyle w:val="TAC"/>
              <w:rPr>
                <w:rFonts w:eastAsia="Malgun Gothic"/>
              </w:rPr>
            </w:pPr>
            <w:r>
              <w:t>0.3</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r>
              <w:t>3</w:t>
            </w:r>
          </w:p>
        </w:tc>
      </w:tr>
      <w:tr>
        <w:trPr>
          <w:trHeight w:val="188"/>
          <w:jc w:val="center"/>
        </w:trPr>
        <w:tc>
          <w:tcPr>
            <w:tcW w:w="1696" w:type="dxa"/>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DC_3</w:t>
            </w:r>
            <w:r>
              <w:t>_</w:t>
            </w:r>
            <w:r>
              <w:rPr>
                <w:rFonts w:eastAsia="Malgun Gothic"/>
              </w:rPr>
              <w:t>n79</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8, 11, 18, 19, 21, 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val="restart"/>
            <w:tcBorders>
              <w:top w:val="single" w:sz="4" w:space="0" w:color="auto"/>
              <w:left w:val="single" w:sz="4" w:space="0" w:color="auto"/>
              <w:right w:val="single" w:sz="4" w:space="0" w:color="auto"/>
            </w:tcBorders>
          </w:tcPr>
          <w:p>
            <w:pPr>
              <w:pStyle w:val="TAH"/>
              <w:rPr>
                <w:rFonts w:eastAsia="Malgun Gothic"/>
              </w:rPr>
            </w:pPr>
            <w:r>
              <w:t>DC_5_n66</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6, 7, 8, 38</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tcBorders>
              <w:left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26</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859</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t>869</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t>-27</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tcBorders>
              <w:left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trHeight w:val="188"/>
          <w:jc w:val="center"/>
        </w:trPr>
        <w:tc>
          <w:tcPr>
            <w:tcW w:w="1696" w:type="dxa"/>
            <w:vMerge/>
            <w:tcBorders>
              <w:left w:val="single" w:sz="4" w:space="0" w:color="auto"/>
              <w:bottom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18, 19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t>-40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val="restart"/>
            <w:tcBorders>
              <w:top w:val="single" w:sz="4" w:space="0" w:color="auto"/>
              <w:left w:val="single" w:sz="4" w:space="0" w:color="auto"/>
              <w:right w:val="single" w:sz="4" w:space="0" w:color="auto"/>
            </w:tcBorders>
          </w:tcPr>
          <w:p>
            <w:pPr>
              <w:pStyle w:val="TAH"/>
              <w:rPr>
                <w:rFonts w:eastAsia="Malgun Gothic"/>
              </w:rPr>
            </w:pPr>
            <w:r>
              <w:t>DC_5_n78</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2, 3, 4, 7, 10, 25, 34, 38, 65, 66, 70</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tcBorders>
              <w:left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1884.5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t>1915.7</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t>-41</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t>0.3</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t>3, 4</w:t>
            </w:r>
          </w:p>
        </w:tc>
      </w:tr>
      <w:tr>
        <w:trPr>
          <w:trHeight w:val="188"/>
          <w:jc w:val="center"/>
        </w:trPr>
        <w:tc>
          <w:tcPr>
            <w:tcW w:w="1696" w:type="dxa"/>
            <w:vMerge/>
            <w:tcBorders>
              <w:left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2545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t>2575</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tcBorders>
              <w:left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2595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t>2645</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tcBorders>
              <w:left w:val="single" w:sz="4" w:space="0" w:color="auto"/>
              <w:bottom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t>7</w:t>
            </w:r>
          </w:p>
        </w:tc>
      </w:tr>
      <w:tr>
        <w:trPr>
          <w:trHeight w:val="188"/>
          <w:jc w:val="center"/>
        </w:trPr>
        <w:tc>
          <w:tcPr>
            <w:tcW w:w="1696" w:type="dxa"/>
            <w:tcBorders>
              <w:left w:val="single" w:sz="4" w:space="0" w:color="auto"/>
              <w:bottom w:val="single" w:sz="4" w:space="0" w:color="auto"/>
              <w:right w:val="single" w:sz="4" w:space="0" w:color="auto"/>
            </w:tcBorders>
          </w:tcPr>
          <w:p>
            <w:pPr>
              <w:pStyle w:val="TAH"/>
              <w:rPr>
                <w:rFonts w:eastAsia="Malgun Gothic"/>
              </w:rPr>
            </w:pPr>
            <w:r>
              <w:t>DC_7_n78</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t>E-UTRA Band 3, 5, 8, 11, 18, 19, 20, 21, 26, 27, 28, 32, 50, 51, 67, 68, 74, 75, 76</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850" w:type="dxa"/>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6" w:type="dxa"/>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DC_8_n41</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28</w:t>
            </w:r>
            <w:r>
              <w:t>,</w:t>
            </w:r>
            <w:r>
              <w:rPr>
                <w:rFonts w:eastAsia="Malgun Gothic"/>
              </w:rPr>
              <w:t>n77,78,79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 </w:t>
            </w:r>
          </w:p>
        </w:tc>
      </w:tr>
      <w:tr>
        <w:trPr>
          <w:trHeight w:val="188"/>
          <w:jc w:val="center"/>
        </w:trPr>
        <w:tc>
          <w:tcPr>
            <w:tcW w:w="1696" w:type="dxa"/>
            <w:vMerge/>
            <w:tcBorders>
              <w:left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42,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2</w:t>
            </w:r>
          </w:p>
        </w:tc>
      </w:tr>
      <w:tr>
        <w:trPr>
          <w:trHeight w:val="188"/>
          <w:jc w:val="center"/>
        </w:trPr>
        <w:tc>
          <w:tcPr>
            <w:tcW w:w="1696" w:type="dxa"/>
            <w:vMerge w:val="restart"/>
            <w:tcBorders>
              <w:top w:val="single" w:sz="4" w:space="0" w:color="auto"/>
              <w:left w:val="single" w:sz="4" w:space="0" w:color="auto"/>
              <w:right w:val="single" w:sz="4" w:space="0" w:color="auto"/>
            </w:tcBorders>
          </w:tcPr>
          <w:p>
            <w:pPr>
              <w:pStyle w:val="TAC"/>
              <w:keepNext w:val="0"/>
              <w:rPr>
                <w:lang w:eastAsia="ja-JP"/>
              </w:rPr>
            </w:pPr>
            <w:r>
              <w:rPr>
                <w:rFonts w:eastAsia="MS Mincho"/>
                <w:lang w:eastAsia="ja-JP"/>
              </w:rPr>
              <w:t>DC</w:t>
            </w:r>
            <w:r>
              <w:rPr>
                <w:lang w:eastAsia="ja-JP"/>
              </w:rPr>
              <w:t>_</w:t>
            </w:r>
            <w:r>
              <w:rPr>
                <w:rFonts w:eastAsia="MS Mincho"/>
              </w:rPr>
              <w:t>8</w:t>
            </w:r>
            <w:r>
              <w:rPr>
                <w:lang w:eastAsia="ja-JP"/>
              </w:rPr>
              <w:t>_n</w:t>
            </w:r>
            <w:r>
              <w:rPr>
                <w:rFonts w:eastAsia="MS Mincho"/>
                <w:lang w:eastAsia="ja-JP"/>
              </w:rPr>
              <w:t>7</w:t>
            </w:r>
            <w:r>
              <w:rPr>
                <w:rFonts w:eastAsia="MS Mincho"/>
              </w:rPr>
              <w:t>7</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32, 33, 34, 38, 39, 40,50, 65, 69, 74, 75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lang w:eastAsia="ja-JP"/>
              </w:rPr>
              <w:t>F</w:t>
            </w:r>
            <w:r>
              <w:rPr>
                <w:sz w:val="16"/>
                <w:szCs w:val="16"/>
                <w:vertAlign w:val="subscript"/>
                <w:lang w:eastAsia="ja-JP"/>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lang w:eastAsia="ja-JP"/>
              </w:rPr>
              <w:t>F</w:t>
            </w:r>
            <w:r>
              <w:rPr>
                <w:sz w:val="16"/>
                <w:szCs w:val="16"/>
                <w:vertAlign w:val="subscript"/>
                <w:lang w:eastAsia="ja-JP"/>
              </w:rPr>
              <w:t>DL_high</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6" w:type="dxa"/>
            <w:vMerge/>
            <w:tcBorders>
              <w:top w:val="single" w:sz="4" w:space="0" w:color="auto"/>
              <w:left w:val="single" w:sz="4" w:space="0" w:color="auto"/>
              <w:right w:val="single" w:sz="4" w:space="0" w:color="auto"/>
            </w:tcBorders>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7, 41</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F</w:t>
            </w:r>
            <w:r>
              <w:rPr>
                <w:sz w:val="16"/>
                <w:szCs w:val="16"/>
                <w:vertAlign w:val="subscript"/>
                <w:lang w:eastAsia="ja-JP"/>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F</w:t>
            </w:r>
            <w:r>
              <w:rPr>
                <w:sz w:val="16"/>
                <w:szCs w:val="16"/>
                <w:vertAlign w:val="subscript"/>
                <w:lang w:eastAsia="ja-JP"/>
              </w:rPr>
              <w:t>DL_high</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lang w:eastAsia="ja-JP"/>
              </w:rPr>
              <w:t>2</w:t>
            </w:r>
          </w:p>
        </w:tc>
      </w:tr>
      <w:tr>
        <w:trPr>
          <w:trHeight w:val="188"/>
          <w:jc w:val="center"/>
        </w:trPr>
        <w:tc>
          <w:tcPr>
            <w:tcW w:w="1696" w:type="dxa"/>
            <w:vMerge/>
            <w:tcBorders>
              <w:top w:val="single" w:sz="4" w:space="0" w:color="auto"/>
              <w:left w:val="single" w:sz="4" w:space="0" w:color="auto"/>
              <w:right w:val="single" w:sz="4" w:space="0" w:color="auto"/>
            </w:tcBorders>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11, 21</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F</w:t>
            </w:r>
            <w:r>
              <w:rPr>
                <w:sz w:val="16"/>
                <w:szCs w:val="16"/>
                <w:vertAlign w:val="subscript"/>
                <w:lang w:eastAsia="ja-JP"/>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F</w:t>
            </w:r>
            <w:r>
              <w:rPr>
                <w:sz w:val="16"/>
                <w:szCs w:val="16"/>
                <w:vertAlign w:val="subscript"/>
                <w:lang w:eastAsia="ja-JP"/>
              </w:rPr>
              <w:t>DL_high</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lang w:eastAsia="ja-JP"/>
              </w:rPr>
              <w:t>12</w:t>
            </w:r>
          </w:p>
        </w:tc>
      </w:tr>
      <w:tr>
        <w:trPr>
          <w:trHeight w:val="188"/>
          <w:jc w:val="center"/>
        </w:trPr>
        <w:tc>
          <w:tcPr>
            <w:tcW w:w="1696" w:type="dxa"/>
            <w:vMerge/>
            <w:tcBorders>
              <w:left w:val="single" w:sz="4" w:space="0" w:color="auto"/>
              <w:right w:val="single" w:sz="4" w:space="0" w:color="auto"/>
            </w:tcBorders>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rFonts w:eastAsia="MS Mincho"/>
                <w:sz w:val="16"/>
                <w:szCs w:val="16"/>
              </w:rPr>
              <w:t>1884.5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rFonts w:eastAsia="MS Mincho"/>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rFonts w:eastAsia="MS Mincho"/>
                <w:sz w:val="16"/>
                <w:szCs w:val="16"/>
              </w:rPr>
              <w:t>1915.7</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rPr>
              <w:t>-41</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rPr>
              <w:t>0.3</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rPr>
              <w:t>3, 12</w:t>
            </w:r>
          </w:p>
        </w:tc>
      </w:tr>
      <w:tr>
        <w:trPr>
          <w:trHeight w:val="188"/>
          <w:jc w:val="center"/>
        </w:trPr>
        <w:tc>
          <w:tcPr>
            <w:tcW w:w="1696" w:type="dxa"/>
            <w:vMerge w:val="restart"/>
            <w:tcBorders>
              <w:top w:val="single" w:sz="4" w:space="0" w:color="auto"/>
              <w:left w:val="single" w:sz="4" w:space="0" w:color="auto"/>
              <w:right w:val="single" w:sz="4" w:space="0" w:color="auto"/>
            </w:tcBorders>
          </w:tcPr>
          <w:p>
            <w:pPr>
              <w:pStyle w:val="TAH"/>
              <w:rPr>
                <w:rFonts w:eastAsia="Calibri Light"/>
              </w:rPr>
            </w:pPr>
            <w:r>
              <w:rPr>
                <w:rFonts w:eastAsia="Calibri Light"/>
              </w:rPr>
              <w:t>DC_8_n78</w:t>
            </w:r>
          </w:p>
        </w:tc>
        <w:tc>
          <w:tcPr>
            <w:tcW w:w="2835" w:type="dxa"/>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Calibri Light"/>
              </w:rPr>
              <w:t>E-UTRA band 34, 39, 40, 74</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Calibri Light"/>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Calibri Light"/>
              </w:rPr>
            </w:pPr>
          </w:p>
        </w:tc>
      </w:tr>
      <w:tr>
        <w:trPr>
          <w:trHeight w:val="188"/>
          <w:jc w:val="center"/>
        </w:trPr>
        <w:tc>
          <w:tcPr>
            <w:tcW w:w="1696" w:type="dxa"/>
            <w:vMerge/>
            <w:tcBorders>
              <w:left w:val="single" w:sz="4" w:space="0" w:color="auto"/>
              <w:right w:val="single" w:sz="4" w:space="0" w:color="auto"/>
            </w:tcBorders>
          </w:tcPr>
          <w:p>
            <w:pPr>
              <w:pStyle w:val="TAH"/>
              <w:rPr>
                <w:rFonts w:eastAsia="Calibri Light"/>
              </w:rPr>
            </w:pPr>
          </w:p>
        </w:tc>
        <w:tc>
          <w:tcPr>
            <w:tcW w:w="2835" w:type="dxa"/>
            <w:tcBorders>
              <w:top w:val="single" w:sz="4" w:space="0" w:color="auto"/>
              <w:left w:val="nil"/>
              <w:bottom w:val="single" w:sz="4" w:space="0" w:color="auto"/>
              <w:right w:val="single" w:sz="4" w:space="0" w:color="auto"/>
            </w:tcBorders>
            <w:vAlign w:val="center"/>
          </w:tcPr>
          <w:p>
            <w:pPr>
              <w:pStyle w:val="TAL"/>
              <w:rPr>
                <w:rFonts w:eastAsia="Calibri Light"/>
              </w:rPr>
            </w:pPr>
            <w:r>
              <w:rPr>
                <w:color w:val="000000"/>
                <w:szCs w:val="18"/>
              </w:rPr>
              <w:t>E-UTRA Band 3, 7, 41</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2</w:t>
            </w:r>
          </w:p>
        </w:tc>
      </w:tr>
      <w:tr>
        <w:trPr>
          <w:trHeight w:val="188"/>
          <w:jc w:val="center"/>
        </w:trPr>
        <w:tc>
          <w:tcPr>
            <w:tcW w:w="1696" w:type="dxa"/>
            <w:vMerge/>
            <w:tcBorders>
              <w:left w:val="single" w:sz="4" w:space="0" w:color="auto"/>
              <w:right w:val="single" w:sz="4" w:space="0" w:color="auto"/>
            </w:tcBorders>
          </w:tcPr>
          <w:p>
            <w:pPr>
              <w:pStyle w:val="TAH"/>
              <w:rPr>
                <w:rFonts w:eastAsia="Calibri Light"/>
              </w:rPr>
            </w:pPr>
          </w:p>
        </w:tc>
        <w:tc>
          <w:tcPr>
            <w:tcW w:w="2835"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11, 21</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850"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12</w:t>
            </w:r>
          </w:p>
        </w:tc>
      </w:tr>
      <w:tr>
        <w:trPr>
          <w:trHeight w:val="188"/>
          <w:jc w:val="center"/>
        </w:trPr>
        <w:tc>
          <w:tcPr>
            <w:tcW w:w="1696" w:type="dxa"/>
            <w:vMerge/>
            <w:tcBorders>
              <w:left w:val="single" w:sz="4" w:space="0" w:color="auto"/>
              <w:bottom w:val="single" w:sz="4" w:space="0" w:color="auto"/>
              <w:right w:val="single" w:sz="4" w:space="0" w:color="auto"/>
            </w:tcBorders>
          </w:tcPr>
          <w:p>
            <w:pPr>
              <w:pStyle w:val="TAH"/>
              <w:rPr>
                <w:rFonts w:eastAsia="Calibri Light"/>
              </w:rPr>
            </w:pPr>
          </w:p>
        </w:tc>
        <w:tc>
          <w:tcPr>
            <w:tcW w:w="2835"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1884.5</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1915.7</w:t>
            </w:r>
          </w:p>
        </w:tc>
        <w:tc>
          <w:tcPr>
            <w:tcW w:w="993"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-41</w:t>
            </w:r>
          </w:p>
        </w:tc>
        <w:tc>
          <w:tcPr>
            <w:tcW w:w="850"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0.3</w:t>
            </w:r>
          </w:p>
        </w:tc>
        <w:tc>
          <w:tcPr>
            <w:tcW w:w="1134"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3, 12</w:t>
            </w:r>
          </w:p>
        </w:tc>
      </w:tr>
      <w:tr>
        <w:trPr>
          <w:trHeight w:val="188"/>
          <w:jc w:val="center"/>
        </w:trPr>
        <w:tc>
          <w:tcPr>
            <w:tcW w:w="1696" w:type="dxa"/>
            <w:vMerge w:val="restart"/>
            <w:tcBorders>
              <w:left w:val="single" w:sz="4" w:space="0" w:color="auto"/>
              <w:right w:val="single" w:sz="4" w:space="0" w:color="auto"/>
            </w:tcBorders>
          </w:tcPr>
          <w:p>
            <w:pPr>
              <w:pStyle w:val="TAC"/>
              <w:keepNext w:val="0"/>
              <w:rPr>
                <w:lang w:eastAsia="ja-JP"/>
              </w:rPr>
            </w:pPr>
            <w:r>
              <w:rPr>
                <w:lang w:eastAsia="ja-JP"/>
              </w:rPr>
              <w:t>DC_11_n77</w:t>
            </w: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trHeight w:val="188"/>
          <w:jc w:val="center"/>
        </w:trPr>
        <w:tc>
          <w:tcPr>
            <w:tcW w:w="1696" w:type="dxa"/>
            <w:vMerge/>
            <w:tcBorders>
              <w:left w:val="single" w:sz="4" w:space="0" w:color="auto"/>
              <w:right w:val="single" w:sz="4" w:space="0" w:color="auto"/>
            </w:tcBorders>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960</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trHeight w:val="188"/>
          <w:jc w:val="center"/>
        </w:trPr>
        <w:tc>
          <w:tcPr>
            <w:tcW w:w="1696" w:type="dxa"/>
            <w:vMerge/>
            <w:tcBorders>
              <w:left w:val="single" w:sz="4" w:space="0" w:color="auto"/>
              <w:right w:val="single" w:sz="4" w:space="0" w:color="auto"/>
            </w:tcBorders>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trHeight w:val="188"/>
          <w:jc w:val="center"/>
        </w:trPr>
        <w:tc>
          <w:tcPr>
            <w:tcW w:w="1696" w:type="dxa"/>
            <w:vMerge/>
            <w:tcBorders>
              <w:left w:val="single" w:sz="4" w:space="0" w:color="auto"/>
              <w:right w:val="single" w:sz="4" w:space="0" w:color="auto"/>
            </w:tcBorders>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2575</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trHeight w:val="188"/>
          <w:jc w:val="center"/>
        </w:trPr>
        <w:tc>
          <w:tcPr>
            <w:tcW w:w="1696" w:type="dxa"/>
            <w:vMerge/>
            <w:tcBorders>
              <w:left w:val="single" w:sz="4" w:space="0" w:color="auto"/>
              <w:bottom w:val="single" w:sz="4" w:space="0" w:color="auto"/>
              <w:right w:val="single" w:sz="4" w:space="0" w:color="auto"/>
            </w:tcBorders>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2595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2645</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trHeight w:val="188"/>
          <w:jc w:val="center"/>
        </w:trPr>
        <w:tc>
          <w:tcPr>
            <w:tcW w:w="1696" w:type="dxa"/>
            <w:vMerge w:val="restart"/>
            <w:tcBorders>
              <w:left w:val="single" w:sz="4" w:space="0" w:color="auto"/>
              <w:right w:val="single" w:sz="4" w:space="0" w:color="auto"/>
            </w:tcBorders>
          </w:tcPr>
          <w:p>
            <w:pPr>
              <w:pStyle w:val="TAC"/>
              <w:keepNext w:val="0"/>
              <w:rPr>
                <w:lang w:eastAsia="ja-JP"/>
              </w:rPr>
            </w:pPr>
            <w:r>
              <w:rPr>
                <w:lang w:eastAsia="ja-JP"/>
              </w:rPr>
              <w:t>DC_11_n78</w:t>
            </w: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trHeight w:val="188"/>
          <w:jc w:val="center"/>
        </w:trPr>
        <w:tc>
          <w:tcPr>
            <w:tcW w:w="1696" w:type="dxa"/>
            <w:vMerge/>
            <w:tcBorders>
              <w:left w:val="single" w:sz="4" w:space="0" w:color="auto"/>
              <w:bottom w:val="single" w:sz="4" w:space="0" w:color="auto"/>
              <w:right w:val="single" w:sz="4" w:space="0" w:color="auto"/>
            </w:tcBorders>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trHeight w:val="188"/>
          <w:jc w:val="center"/>
        </w:trPr>
        <w:tc>
          <w:tcPr>
            <w:tcW w:w="1696" w:type="dxa"/>
            <w:vMerge w:val="restart"/>
            <w:tcBorders>
              <w:left w:val="single" w:sz="4" w:space="0" w:color="auto"/>
              <w:right w:val="single" w:sz="4" w:space="0" w:color="auto"/>
            </w:tcBorders>
          </w:tcPr>
          <w:p>
            <w:pPr>
              <w:pStyle w:val="TAC"/>
              <w:keepNext w:val="0"/>
              <w:rPr>
                <w:lang w:eastAsia="ja-JP"/>
              </w:rPr>
            </w:pPr>
            <w:r>
              <w:rPr>
                <w:lang w:eastAsia="ja-JP"/>
              </w:rPr>
              <w:t>DC_11_n79</w:t>
            </w: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1, 3, 34, 42, 65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trHeight w:val="188"/>
          <w:jc w:val="center"/>
        </w:trPr>
        <w:tc>
          <w:tcPr>
            <w:tcW w:w="1696" w:type="dxa"/>
            <w:vMerge/>
            <w:tcBorders>
              <w:left w:val="single" w:sz="4" w:space="0" w:color="auto"/>
              <w:right w:val="single" w:sz="4" w:space="0" w:color="auto"/>
            </w:tcBorders>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trHeight w:val="188"/>
          <w:jc w:val="center"/>
        </w:trPr>
        <w:tc>
          <w:tcPr>
            <w:tcW w:w="1696" w:type="dxa"/>
            <w:tcBorders>
              <w:left w:val="single" w:sz="4" w:space="0" w:color="auto"/>
              <w:bottom w:val="single" w:sz="4" w:space="0" w:color="auto"/>
              <w:right w:val="single" w:sz="4" w:space="0" w:color="auto"/>
            </w:tcBorders>
          </w:tcPr>
          <w:p>
            <w:pPr>
              <w:pStyle w:val="TAH"/>
              <w:rPr>
                <w:rFonts w:eastAsia="Calibri Light"/>
              </w:rPr>
            </w:pPr>
            <w:r>
              <w:rPr>
                <w:rFonts w:eastAsia="Calibri Light"/>
              </w:rPr>
              <w:t>DC_12_n66</w:t>
            </w:r>
          </w:p>
        </w:tc>
        <w:tc>
          <w:tcPr>
            <w:tcW w:w="2835"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41</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850"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color w:val="000000"/>
                <w:szCs w:val="18"/>
              </w:rPr>
            </w:pPr>
          </w:p>
        </w:tc>
      </w:tr>
      <w:tr>
        <w:trPr>
          <w:trHeight w:val="188"/>
          <w:jc w:val="center"/>
        </w:trPr>
        <w:tc>
          <w:tcPr>
            <w:tcW w:w="1696" w:type="dxa"/>
            <w:tcBorders>
              <w:top w:val="single" w:sz="4" w:space="0" w:color="auto"/>
              <w:left w:val="single" w:sz="4" w:space="0" w:color="auto"/>
              <w:bottom w:val="single" w:sz="4" w:space="0" w:color="auto"/>
              <w:right w:val="single" w:sz="4" w:space="0" w:color="auto"/>
            </w:tcBorders>
          </w:tcPr>
          <w:p>
            <w:pPr>
              <w:pStyle w:val="TAC"/>
              <w:keepNext w:val="0"/>
              <w:rPr>
                <w:lang w:eastAsia="ja-JP"/>
              </w:rPr>
            </w:pPr>
            <w:r>
              <w:rPr>
                <w:lang w:eastAsia="ja-JP"/>
              </w:rPr>
              <w:t>DC_25_n41</w:t>
            </w: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E-UTRA Band  12, 13, 14, 17, 28, 29, 42, 71</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6" w:type="dxa"/>
            <w:tcBorders>
              <w:left w:val="single" w:sz="4" w:space="0" w:color="auto"/>
              <w:bottom w:val="single" w:sz="4" w:space="0" w:color="auto"/>
              <w:right w:val="single" w:sz="4" w:space="0" w:color="auto"/>
            </w:tcBorders>
          </w:tcPr>
          <w:p>
            <w:pPr>
              <w:pStyle w:val="TAH"/>
              <w:rPr>
                <w:rFonts w:eastAsia="Calibri Light"/>
              </w:rPr>
            </w:pPr>
          </w:p>
        </w:tc>
        <w:tc>
          <w:tcPr>
            <w:tcW w:w="2835"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NR Band n77</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5</w:t>
            </w:r>
          </w:p>
        </w:tc>
      </w:tr>
      <w:tr>
        <w:trPr>
          <w:trHeight w:val="188"/>
          <w:jc w:val="center"/>
        </w:trPr>
        <w:tc>
          <w:tcPr>
            <w:tcW w:w="1696" w:type="dxa"/>
            <w:vMerge w:val="restart"/>
            <w:tcBorders>
              <w:top w:val="single" w:sz="4" w:space="0" w:color="auto"/>
              <w:left w:val="single" w:sz="4" w:space="0" w:color="auto"/>
              <w:bottom w:val="single" w:sz="4" w:space="0" w:color="auto"/>
              <w:right w:val="single" w:sz="4" w:space="0" w:color="auto"/>
            </w:tcBorders>
          </w:tcPr>
          <w:p>
            <w:pPr>
              <w:pStyle w:val="TAC"/>
              <w:keepNext w:val="0"/>
              <w:rPr>
                <w:lang w:eastAsia="ja-JP"/>
              </w:rPr>
            </w:pPr>
            <w:r>
              <w:rPr>
                <w:lang w:eastAsia="ja-JP"/>
              </w:rPr>
              <w:t>DC_26_n41</w:t>
            </w: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szCs w:val="16"/>
                <w:lang w:eastAsia="ja-JP"/>
              </w:rPr>
              <w:t>E-UTRA Band 3, 5, 18, 19, 26, 42</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6"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799</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803</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-40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5</w:t>
            </w:r>
          </w:p>
        </w:tc>
      </w:tr>
      <w:tr>
        <w:trPr>
          <w:trHeight w:val="188"/>
          <w:jc w:val="center"/>
        </w:trPr>
        <w:tc>
          <w:tcPr>
            <w:tcW w:w="1696"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960</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6" w:type="dxa"/>
            <w:vMerge w:val="restart"/>
            <w:tcBorders>
              <w:top w:val="single" w:sz="4" w:space="0" w:color="auto"/>
              <w:left w:val="single" w:sz="4" w:space="0" w:color="auto"/>
              <w:right w:val="single" w:sz="4" w:space="0" w:color="auto"/>
            </w:tcBorders>
          </w:tcPr>
          <w:p>
            <w:pPr>
              <w:pStyle w:val="TAC"/>
              <w:keepNext w:val="0"/>
              <w:rPr>
                <w:b/>
                <w:bCs/>
                <w:szCs w:val="18"/>
                <w:lang w:eastAsia="ja-JP"/>
              </w:rPr>
            </w:pPr>
            <w:r>
              <w:rPr>
                <w:rFonts w:eastAsia="MS Mincho"/>
                <w:b/>
                <w:bCs/>
                <w:szCs w:val="18"/>
                <w:lang w:eastAsia="ja-JP"/>
              </w:rPr>
              <w:t>DC_26_n77</w:t>
            </w:r>
          </w:p>
        </w:tc>
        <w:tc>
          <w:tcPr>
            <w:tcW w:w="2835" w:type="dxa"/>
            <w:tcBorders>
              <w:top w:val="single" w:sz="4" w:space="0" w:color="auto"/>
              <w:left w:val="nil"/>
              <w:bottom w:val="single" w:sz="4" w:space="0" w:color="auto"/>
              <w:right w:val="single" w:sz="4" w:space="0" w:color="auto"/>
            </w:tcBorders>
            <w:vAlign w:val="bottom"/>
          </w:tcPr>
          <w:p>
            <w:pPr>
              <w:pStyle w:val="TAL"/>
              <w:keepNext w:val="0"/>
              <w:rPr>
                <w:szCs w:val="18"/>
                <w:lang w:eastAsia="ja-JP"/>
              </w:rPr>
            </w:pPr>
            <w:r>
              <w:rPr>
                <w:szCs w:val="18"/>
              </w:rPr>
              <w:t xml:space="preserve">E-UTRA Band </w:t>
            </w:r>
            <w:r>
              <w:rPr>
                <w:rFonts w:eastAsia="MS Mincho"/>
                <w:szCs w:val="18"/>
                <w:lang w:eastAsia="ja-JP"/>
              </w:rPr>
              <w:t>1, 3, 34, 39, 40, 41, 65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rFonts w:eastAsia="MS Mincho"/>
                <w:szCs w:val="18"/>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r>
              <w:rPr>
                <w:rFonts w:eastAsia="MS Mincho"/>
                <w:szCs w:val="18"/>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p>
        </w:tc>
      </w:tr>
      <w:tr>
        <w:trPr>
          <w:trHeight w:val="188"/>
          <w:jc w:val="center"/>
        </w:trPr>
        <w:tc>
          <w:tcPr>
            <w:tcW w:w="1696" w:type="dxa"/>
            <w:vMerge/>
            <w:tcBorders>
              <w:left w:val="single" w:sz="4" w:space="0" w:color="auto"/>
              <w:right w:val="single" w:sz="4" w:space="0" w:color="auto"/>
            </w:tcBorders>
            <w:vAlign w:val="center"/>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eastAsia="MS Mincho"/>
                <w:sz w:val="16"/>
                <w:szCs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lang w:eastAsia="ja-JP"/>
              </w:rPr>
            </w:pPr>
            <w:r>
              <w:rPr>
                <w:sz w:val="16"/>
                <w:szCs w:val="16"/>
              </w:rPr>
              <w:t xml:space="preserve">1915.7 </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-41</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3</w:t>
            </w:r>
          </w:p>
        </w:tc>
      </w:tr>
      <w:tr>
        <w:trPr>
          <w:trHeight w:val="188"/>
          <w:jc w:val="center"/>
        </w:trPr>
        <w:tc>
          <w:tcPr>
            <w:tcW w:w="1696"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keepNext w:val="0"/>
              <w:rPr>
                <w:rFonts w:eastAsia="MS Mincho"/>
                <w:sz w:val="16"/>
                <w:szCs w:val="16"/>
                <w:lang w:eastAsia="ja-JP"/>
              </w:rPr>
            </w:pPr>
            <w:r>
              <w:rPr>
                <w:rFonts w:eastAsia="MS Mincho"/>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2545</w:t>
            </w:r>
          </w:p>
        </w:tc>
        <w:tc>
          <w:tcPr>
            <w:tcW w:w="567" w:type="dxa"/>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2575</w:t>
            </w:r>
          </w:p>
        </w:tc>
        <w:tc>
          <w:tcPr>
            <w:tcW w:w="993" w:type="dxa"/>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6"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rFonts w:eastAsia="MS Mincho" w:cs="Arial"/>
                <w:color w:val="000000"/>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2595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2645</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rFonts w:eastAsia="MS Mincho" w:cs="Arial"/>
                <w:color w:val="000000"/>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trHeight w:val="188"/>
          <w:jc w:val="center"/>
        </w:trPr>
        <w:tc>
          <w:tcPr>
            <w:tcW w:w="1696" w:type="dxa"/>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DC_26_n78</w:t>
            </w: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rPr>
              <w:t xml:space="preserve">E-UTRA Band </w:t>
            </w:r>
            <w:r>
              <w:rPr>
                <w:sz w:val="16"/>
                <w:lang w:eastAsia="ja-JP"/>
              </w:rPr>
              <w:t>1, 3, 34, 39, 41</w:t>
            </w:r>
            <w:r>
              <w:rPr>
                <w:rFonts w:eastAsia="MS Mincho"/>
                <w:sz w:val="16"/>
                <w:szCs w:val="16"/>
                <w:lang w:eastAsia="ja-JP"/>
              </w:rPr>
              <w:t>,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6" w:type="dxa"/>
            <w:vMerge/>
            <w:tcBorders>
              <w:left w:val="single" w:sz="4" w:space="0" w:color="auto"/>
              <w:right w:val="single" w:sz="4" w:space="0" w:color="auto"/>
            </w:tcBorders>
            <w:vAlign w:val="center"/>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lang w:eastAsia="ja-JP"/>
              </w:rPr>
            </w:pPr>
            <w:r>
              <w:rPr>
                <w:sz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1915.7 </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-41</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0.3</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3</w:t>
            </w:r>
          </w:p>
        </w:tc>
      </w:tr>
      <w:tr>
        <w:trPr>
          <w:trHeight w:val="188"/>
          <w:jc w:val="center"/>
        </w:trPr>
        <w:tc>
          <w:tcPr>
            <w:tcW w:w="1696" w:type="dxa"/>
            <w:vMerge/>
            <w:tcBorders>
              <w:left w:val="single" w:sz="4" w:space="0" w:color="auto"/>
              <w:right w:val="single" w:sz="4" w:space="0" w:color="auto"/>
            </w:tcBorders>
            <w:vAlign w:val="center"/>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2575</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6"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2595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2645</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6" w:type="dxa"/>
            <w:tcBorders>
              <w:left w:val="single" w:sz="4" w:space="0" w:color="auto"/>
              <w:bottom w:val="single" w:sz="4" w:space="0" w:color="auto"/>
              <w:right w:val="single" w:sz="4" w:space="0" w:color="auto"/>
            </w:tcBorders>
          </w:tcPr>
          <w:p>
            <w:pPr>
              <w:pStyle w:val="TAH"/>
              <w:rPr>
                <w:rFonts w:eastAsia="Calibri Light"/>
              </w:rPr>
            </w:pPr>
            <w:r>
              <w:rPr>
                <w:rFonts w:eastAsia="Calibri Light"/>
              </w:rPr>
              <w:t>DC_30_n5</w:t>
            </w:r>
          </w:p>
        </w:tc>
        <w:tc>
          <w:tcPr>
            <w:tcW w:w="2835"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71</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850"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color w:val="000000"/>
                <w:szCs w:val="18"/>
              </w:rPr>
            </w:pPr>
          </w:p>
        </w:tc>
      </w:tr>
      <w:tr>
        <w:trPr>
          <w:trHeight w:val="188"/>
          <w:jc w:val="center"/>
        </w:trPr>
        <w:tc>
          <w:tcPr>
            <w:tcW w:w="1696" w:type="dxa"/>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w:t>
            </w:r>
            <w:r>
              <w:rPr>
                <w:rFonts w:eastAsia="MS Mincho"/>
              </w:rPr>
              <w:t>39</w:t>
            </w:r>
            <w:r>
              <w:rPr>
                <w:rFonts w:eastAsia="Malgun Gothic"/>
              </w:rPr>
              <w:t>_n</w:t>
            </w:r>
            <w:r>
              <w:rPr>
                <w:rFonts w:eastAsia="MS Mincho"/>
              </w:rPr>
              <w:t>41</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t>E-UTRA Band 42, 44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tcBorders>
              <w:left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NR Band n77, n78, n79</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850"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trHeight w:val="188"/>
          <w:jc w:val="center"/>
        </w:trPr>
        <w:tc>
          <w:tcPr>
            <w:tcW w:w="1696" w:type="dxa"/>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DC_39_n79</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8, 41, 44 or NR Band n8, n41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DC_40_n41</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Bands 1, 34, 39, 65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tcBorders>
              <w:left w:val="single" w:sz="4" w:space="0" w:color="auto"/>
              <w:bottom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NR Band n79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2</w:t>
            </w:r>
          </w:p>
        </w:tc>
      </w:tr>
      <w:tr>
        <w:trPr>
          <w:trHeight w:val="188"/>
          <w:jc w:val="center"/>
        </w:trPr>
        <w:tc>
          <w:tcPr>
            <w:tcW w:w="1696" w:type="dxa"/>
            <w:vMerge/>
            <w:tcBorders>
              <w:left w:val="single" w:sz="4" w:space="0" w:color="auto"/>
              <w:bottom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0.3</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3, 19</w:t>
            </w:r>
          </w:p>
        </w:tc>
      </w:tr>
      <w:tr>
        <w:trPr>
          <w:trHeight w:val="188"/>
          <w:jc w:val="center"/>
        </w:trPr>
        <w:tc>
          <w:tcPr>
            <w:tcW w:w="1696" w:type="dxa"/>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DC_41_n77</w:t>
            </w:r>
          </w:p>
        </w:tc>
        <w:tc>
          <w:tcPr>
            <w:tcW w:w="2835" w:type="dxa"/>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sz w:val="16"/>
                <w:szCs w:val="16"/>
                <w:lang w:eastAsia="ja-JP"/>
              </w:rPr>
              <w:t>E-UTRA Band 3, 5, 8, 11, 18, 19, 21, 26, 28, 33, 34, 39, 44, 45, 74</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F</w:t>
            </w:r>
            <w:r>
              <w:rPr>
                <w:sz w:val="16"/>
                <w:szCs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F</w:t>
            </w:r>
            <w:r>
              <w:rPr>
                <w:sz w:val="16"/>
                <w:szCs w:val="16"/>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trHeight w:val="188"/>
          <w:jc w:val="center"/>
        </w:trPr>
        <w:tc>
          <w:tcPr>
            <w:tcW w:w="1696" w:type="dxa"/>
            <w:vMerge/>
            <w:tcBorders>
              <w:left w:val="single" w:sz="4" w:space="0" w:color="auto"/>
              <w:right w:val="single" w:sz="4" w:space="0" w:color="auto"/>
            </w:tcBorders>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1884.5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1915.7</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-41</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0.3</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3</w:t>
            </w:r>
          </w:p>
        </w:tc>
      </w:tr>
      <w:tr>
        <w:trPr>
          <w:trHeight w:val="188"/>
          <w:jc w:val="center"/>
        </w:trPr>
        <w:tc>
          <w:tcPr>
            <w:tcW w:w="1696" w:type="dxa"/>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DC_41_n78</w:t>
            </w: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szCs w:val="16"/>
                <w:lang w:eastAsia="ja-JP"/>
              </w:rPr>
            </w:pPr>
            <w:r>
              <w:rPr>
                <w:sz w:val="16"/>
                <w:szCs w:val="16"/>
                <w:lang w:eastAsia="ja-JP"/>
              </w:rPr>
              <w:t>E-UTRA Band 3, 5, 8, 11, 18, 19, 21, 26, 28, 34, 39, 44, 45, 74</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F</w:t>
            </w:r>
            <w:r>
              <w:rPr>
                <w:rFonts w:eastAsia="Yu Mincho"/>
                <w:sz w:val="16"/>
                <w:szCs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F</w:t>
            </w:r>
            <w:r>
              <w:rPr>
                <w:rFonts w:eastAsia="Yu Mincho"/>
                <w:sz w:val="16"/>
                <w:szCs w:val="16"/>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trHeight w:val="188"/>
          <w:jc w:val="center"/>
        </w:trPr>
        <w:tc>
          <w:tcPr>
            <w:tcW w:w="1696" w:type="dxa"/>
            <w:vMerge/>
            <w:tcBorders>
              <w:left w:val="single" w:sz="4" w:space="0" w:color="auto"/>
              <w:right w:val="single" w:sz="4" w:space="0" w:color="auto"/>
            </w:tcBorders>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szCs w:val="16"/>
                <w:lang w:eastAsia="ja-JP"/>
              </w:rPr>
            </w:pPr>
            <w:r>
              <w:rPr>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1884.5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1915.7</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-41</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0.3</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lang w:eastAsia="ja-JP"/>
              </w:rPr>
              <w:t>3</w:t>
            </w:r>
          </w:p>
        </w:tc>
      </w:tr>
      <w:tr>
        <w:trPr>
          <w:trHeight w:val="188"/>
          <w:jc w:val="center"/>
        </w:trPr>
        <w:tc>
          <w:tcPr>
            <w:tcW w:w="1696" w:type="dxa"/>
            <w:vMerge w:val="restart"/>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DC_41_n79</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3, 5, 8, 9, 18, 19, 28, 34, 40, 44, 65 or NR Band n1, n3, n8, n28, n34, n40</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tcBorders>
              <w:left w:val="single" w:sz="4" w:space="0" w:color="auto"/>
              <w:bottom w:val="single" w:sz="4" w:space="0" w:color="auto"/>
              <w:right w:val="single" w:sz="4" w:space="0" w:color="auto"/>
            </w:tcBorders>
          </w:tcPr>
          <w:p>
            <w:pPr>
              <w:rPr>
                <w:rFonts w:eastAsia="Malgun Gothic"/>
              </w:rPr>
            </w:pP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0.3</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w:t>
            </w:r>
          </w:p>
        </w:tc>
      </w:tr>
      <w:tr>
        <w:trPr>
          <w:trHeight w:val="188"/>
          <w:jc w:val="center"/>
          <w:del w:id="12" w:author="Kevin Wang (QMC)" w:date="2021-04-26T22:28:00Z"/>
        </w:trPr>
        <w:tc>
          <w:tcPr>
            <w:tcW w:w="1696" w:type="dxa"/>
            <w:vMerge w:val="restart"/>
            <w:tcBorders>
              <w:left w:val="single" w:sz="4" w:space="0" w:color="auto"/>
              <w:right w:val="single" w:sz="4" w:space="0" w:color="auto"/>
            </w:tcBorders>
          </w:tcPr>
          <w:p>
            <w:pPr>
              <w:pStyle w:val="TAH"/>
              <w:rPr>
                <w:del w:id="13" w:author="Kevin Wang (QMC)" w:date="2021-04-26T22:28:00Z"/>
                <w:rFonts w:eastAsia="Malgun Gothic"/>
              </w:rPr>
            </w:pPr>
            <w:del w:id="14" w:author="Kevin Wang (QMC)" w:date="2021-04-26T22:28:00Z">
              <w:r>
                <w:rPr>
                  <w:rFonts w:eastAsia="Malgun Gothic"/>
                </w:rPr>
                <w:delText>DC_</w:delText>
              </w:r>
              <w:r>
                <w:rPr>
                  <w:lang w:eastAsia="zh-TW"/>
                </w:rPr>
                <w:delText>66</w:delText>
              </w:r>
              <w:r>
                <w:rPr>
                  <w:rFonts w:eastAsia="Malgun Gothic"/>
                </w:rPr>
                <w:delText>_n</w:delText>
              </w:r>
              <w:r>
                <w:rPr>
                  <w:lang w:eastAsia="zh-TW"/>
                </w:rPr>
                <w:delText>2</w:delText>
              </w:r>
            </w:del>
          </w:p>
        </w:tc>
        <w:tc>
          <w:tcPr>
            <w:tcW w:w="2835" w:type="dxa"/>
            <w:tcBorders>
              <w:top w:val="single" w:sz="4" w:space="0" w:color="auto"/>
              <w:left w:val="nil"/>
              <w:bottom w:val="single" w:sz="4" w:space="0" w:color="auto"/>
              <w:right w:val="single" w:sz="4" w:space="0" w:color="auto"/>
            </w:tcBorders>
            <w:vAlign w:val="bottom"/>
          </w:tcPr>
          <w:p>
            <w:pPr>
              <w:pStyle w:val="TAL"/>
              <w:rPr>
                <w:del w:id="15" w:author="Kevin Wang (QMC)" w:date="2021-04-26T22:28:00Z"/>
                <w:lang w:eastAsia="zh-TW"/>
              </w:rPr>
            </w:pPr>
            <w:del w:id="16" w:author="Kevin Wang (QMC)" w:date="2021-04-26T22:28:00Z">
              <w:r>
                <w:rPr>
                  <w:rFonts w:eastAsia="Malgun Gothic"/>
                </w:rPr>
                <w:delText xml:space="preserve">E-UTRA Band </w:delText>
              </w:r>
              <w:r>
                <w:rPr>
                  <w:lang w:eastAsia="zh-TW"/>
                </w:rPr>
                <w:delText>2</w:delText>
              </w:r>
              <w:r>
                <w:rPr>
                  <w:rFonts w:eastAsia="Malgun Gothic"/>
                </w:rPr>
                <w:delText>,</w:delText>
              </w:r>
              <w:r>
                <w:rPr>
                  <w:lang w:eastAsia="zh-TW"/>
                </w:rPr>
                <w:delText xml:space="preserve"> 22, 25,</w:delText>
              </w:r>
              <w:r>
                <w:rPr>
                  <w:rFonts w:eastAsia="Malgun Gothic"/>
                </w:rPr>
                <w:delText xml:space="preserve"> </w:delText>
              </w:r>
              <w:r>
                <w:rPr>
                  <w:lang w:eastAsia="zh-TW"/>
                </w:rPr>
                <w:delText>42</w:delText>
              </w:r>
              <w:r>
                <w:rPr>
                  <w:rFonts w:eastAsia="Malgun Gothic"/>
                </w:rPr>
                <w:delText>,</w:delText>
              </w:r>
              <w:r>
                <w:rPr>
                  <w:lang w:eastAsia="zh-TW"/>
                </w:rPr>
                <w:delText xml:space="preserve"> 43</w:delText>
              </w:r>
            </w:del>
          </w:p>
          <w:p>
            <w:pPr>
              <w:pStyle w:val="TAL"/>
              <w:rPr>
                <w:del w:id="17" w:author="Kevin Wang (QMC)" w:date="2021-04-26T22:28:00Z"/>
                <w:rFonts w:eastAsia="Malgun Gothic"/>
              </w:rPr>
            </w:pPr>
            <w:del w:id="18" w:author="Kevin Wang (QMC)" w:date="2021-04-26T22:28:00Z">
              <w:r>
                <w:rPr>
                  <w:lang w:eastAsia="zh-TW"/>
                </w:rPr>
                <w:delText>Band n7</w:delText>
              </w:r>
            </w:del>
          </w:p>
        </w:tc>
        <w:tc>
          <w:tcPr>
            <w:tcW w:w="851" w:type="dxa"/>
            <w:tcBorders>
              <w:top w:val="single" w:sz="4" w:space="0" w:color="auto"/>
              <w:left w:val="nil"/>
              <w:bottom w:val="single" w:sz="4" w:space="0" w:color="auto"/>
              <w:right w:val="single" w:sz="4" w:space="0" w:color="auto"/>
            </w:tcBorders>
            <w:vAlign w:val="center"/>
          </w:tcPr>
          <w:p>
            <w:pPr>
              <w:pStyle w:val="TAC"/>
              <w:rPr>
                <w:del w:id="19" w:author="Kevin Wang (QMC)" w:date="2021-04-26T22:28:00Z"/>
                <w:rFonts w:eastAsia="Malgun Gothic"/>
              </w:rPr>
            </w:pPr>
            <w:del w:id="20" w:author="Kevin Wang (QMC)" w:date="2021-04-26T22:28:00Z">
              <w:r>
                <w:rPr>
                  <w:rFonts w:eastAsia="Malgun Gothic"/>
                </w:rPr>
                <w:delText>F</w:delText>
              </w:r>
              <w:r>
                <w:rPr>
                  <w:rFonts w:eastAsia="Malgun Gothic"/>
                  <w:vertAlign w:val="subscript"/>
                </w:rPr>
                <w:delText>DL_low</w:delText>
              </w:r>
            </w:del>
          </w:p>
        </w:tc>
        <w:tc>
          <w:tcPr>
            <w:tcW w:w="567" w:type="dxa"/>
            <w:tcBorders>
              <w:top w:val="single" w:sz="4" w:space="0" w:color="auto"/>
              <w:left w:val="nil"/>
              <w:bottom w:val="single" w:sz="4" w:space="0" w:color="auto"/>
              <w:right w:val="single" w:sz="4" w:space="0" w:color="auto"/>
            </w:tcBorders>
            <w:vAlign w:val="center"/>
          </w:tcPr>
          <w:p>
            <w:pPr>
              <w:pStyle w:val="TAC"/>
              <w:rPr>
                <w:del w:id="21" w:author="Kevin Wang (QMC)" w:date="2021-04-26T22:28:00Z"/>
                <w:rFonts w:eastAsia="Malgun Gothic"/>
              </w:rPr>
            </w:pPr>
            <w:del w:id="22" w:author="Kevin Wang (QMC)" w:date="2021-04-26T22:28:00Z">
              <w:r>
                <w:rPr>
                  <w:rFonts w:eastAsia="Malgun Gothic"/>
                </w:rPr>
                <w:delText>-</w:delText>
              </w:r>
            </w:del>
          </w:p>
        </w:tc>
        <w:tc>
          <w:tcPr>
            <w:tcW w:w="850" w:type="dxa"/>
            <w:tcBorders>
              <w:top w:val="single" w:sz="4" w:space="0" w:color="auto"/>
              <w:left w:val="nil"/>
              <w:bottom w:val="single" w:sz="4" w:space="0" w:color="auto"/>
              <w:right w:val="single" w:sz="4" w:space="0" w:color="auto"/>
            </w:tcBorders>
            <w:vAlign w:val="center"/>
          </w:tcPr>
          <w:p>
            <w:pPr>
              <w:pStyle w:val="TAC"/>
              <w:rPr>
                <w:del w:id="23" w:author="Kevin Wang (QMC)" w:date="2021-04-26T22:28:00Z"/>
                <w:rFonts w:eastAsia="Malgun Gothic"/>
              </w:rPr>
            </w:pPr>
            <w:del w:id="24" w:author="Kevin Wang (QMC)" w:date="2021-04-26T22:28:00Z">
              <w:r>
                <w:rPr>
                  <w:rFonts w:eastAsia="Malgun Gothic"/>
                </w:rPr>
                <w:delText>F</w:delText>
              </w:r>
              <w:r>
                <w:rPr>
                  <w:rFonts w:eastAsia="Malgun Gothic"/>
                  <w:vertAlign w:val="subscript"/>
                </w:rPr>
                <w:delText>DL_high</w:delText>
              </w:r>
            </w:del>
          </w:p>
        </w:tc>
        <w:tc>
          <w:tcPr>
            <w:tcW w:w="993" w:type="dxa"/>
            <w:tcBorders>
              <w:top w:val="single" w:sz="4" w:space="0" w:color="auto"/>
              <w:left w:val="nil"/>
              <w:bottom w:val="single" w:sz="4" w:space="0" w:color="auto"/>
              <w:right w:val="single" w:sz="4" w:space="0" w:color="auto"/>
            </w:tcBorders>
            <w:vAlign w:val="center"/>
          </w:tcPr>
          <w:p>
            <w:pPr>
              <w:pStyle w:val="TAC"/>
              <w:rPr>
                <w:del w:id="25" w:author="Kevin Wang (QMC)" w:date="2021-04-26T22:28:00Z"/>
                <w:rFonts w:eastAsia="Malgun Gothic"/>
              </w:rPr>
            </w:pPr>
            <w:del w:id="26" w:author="Kevin Wang (QMC)" w:date="2021-04-26T22:28:00Z">
              <w:r>
                <w:rPr>
                  <w:rFonts w:eastAsia="Malgun Gothic"/>
                </w:rPr>
                <w:delText>-50</w:delText>
              </w:r>
            </w:del>
          </w:p>
        </w:tc>
        <w:tc>
          <w:tcPr>
            <w:tcW w:w="850" w:type="dxa"/>
            <w:tcBorders>
              <w:top w:val="single" w:sz="4" w:space="0" w:color="auto"/>
              <w:left w:val="nil"/>
              <w:bottom w:val="single" w:sz="4" w:space="0" w:color="auto"/>
              <w:right w:val="single" w:sz="4" w:space="0" w:color="auto"/>
            </w:tcBorders>
            <w:noWrap/>
            <w:vAlign w:val="center"/>
          </w:tcPr>
          <w:p>
            <w:pPr>
              <w:pStyle w:val="TAC"/>
              <w:rPr>
                <w:del w:id="27" w:author="Kevin Wang (QMC)" w:date="2021-04-26T22:28:00Z"/>
                <w:rFonts w:eastAsia="Malgun Gothic"/>
              </w:rPr>
            </w:pPr>
            <w:del w:id="28" w:author="Kevin Wang (QMC)" w:date="2021-04-26T22:28:00Z">
              <w:r>
                <w:rPr>
                  <w:rFonts w:eastAsia="Malgun Gothic"/>
                </w:rPr>
                <w:delText>1</w:delText>
              </w:r>
            </w:del>
          </w:p>
        </w:tc>
        <w:tc>
          <w:tcPr>
            <w:tcW w:w="1134" w:type="dxa"/>
            <w:tcBorders>
              <w:top w:val="single" w:sz="4" w:space="0" w:color="auto"/>
              <w:left w:val="nil"/>
              <w:bottom w:val="single" w:sz="4" w:space="0" w:color="auto"/>
              <w:right w:val="single" w:sz="4" w:space="0" w:color="auto"/>
            </w:tcBorders>
            <w:noWrap/>
            <w:vAlign w:val="center"/>
          </w:tcPr>
          <w:p>
            <w:pPr>
              <w:pStyle w:val="TAC"/>
              <w:rPr>
                <w:del w:id="29" w:author="Kevin Wang (QMC)" w:date="2021-04-26T22:28:00Z"/>
                <w:rFonts w:eastAsia="Malgun Gothic"/>
              </w:rPr>
            </w:pPr>
            <w:del w:id="30" w:author="Kevin Wang (QMC)" w:date="2021-04-26T22:28:00Z">
              <w:r>
                <w:rPr>
                  <w:lang w:eastAsia="zh-TW"/>
                </w:rPr>
                <w:delText>2, 5</w:delText>
              </w:r>
            </w:del>
          </w:p>
        </w:tc>
      </w:tr>
      <w:tr>
        <w:trPr>
          <w:trHeight w:val="188"/>
          <w:jc w:val="center"/>
          <w:del w:id="31" w:author="Kevin Wang (QMC)" w:date="2021-04-26T22:28:00Z"/>
        </w:trPr>
        <w:tc>
          <w:tcPr>
            <w:tcW w:w="1696" w:type="dxa"/>
            <w:vMerge/>
            <w:tcBorders>
              <w:left w:val="single" w:sz="4" w:space="0" w:color="auto"/>
              <w:right w:val="single" w:sz="4" w:space="0" w:color="auto"/>
            </w:tcBorders>
            <w:vAlign w:val="center"/>
          </w:tcPr>
          <w:p>
            <w:pPr>
              <w:rPr>
                <w:del w:id="32" w:author="Kevin Wang (QMC)" w:date="2021-04-26T22:28:00Z"/>
                <w:rFonts w:eastAsia="Malgun Gothic"/>
              </w:rPr>
            </w:pPr>
          </w:p>
        </w:tc>
        <w:tc>
          <w:tcPr>
            <w:tcW w:w="2835" w:type="dxa"/>
            <w:tcBorders>
              <w:top w:val="single" w:sz="4" w:space="0" w:color="auto"/>
              <w:left w:val="nil"/>
              <w:bottom w:val="single" w:sz="4" w:space="0" w:color="auto"/>
              <w:right w:val="single" w:sz="4" w:space="0" w:color="auto"/>
            </w:tcBorders>
          </w:tcPr>
          <w:p>
            <w:pPr>
              <w:pStyle w:val="TAL"/>
              <w:rPr>
                <w:del w:id="33" w:author="Kevin Wang (QMC)" w:date="2021-04-26T22:28:00Z"/>
                <w:rFonts w:eastAsia="Malgun Gothic"/>
              </w:rPr>
            </w:pPr>
            <w:del w:id="34" w:author="Kevin Wang (QMC)" w:date="2021-04-26T22:28:00Z">
              <w:r>
                <w:rPr>
                  <w:rFonts w:eastAsia="Malgun Gothic"/>
                </w:rPr>
                <w:delText xml:space="preserve">E-UTRA Band </w:delText>
              </w:r>
              <w:r>
                <w:rPr>
                  <w:lang w:eastAsia="zh-TW"/>
                </w:rPr>
                <w:delText>4, 10, 66</w:delText>
              </w:r>
            </w:del>
          </w:p>
        </w:tc>
        <w:tc>
          <w:tcPr>
            <w:tcW w:w="851" w:type="dxa"/>
            <w:tcBorders>
              <w:top w:val="single" w:sz="4" w:space="0" w:color="auto"/>
              <w:left w:val="nil"/>
              <w:bottom w:val="single" w:sz="4" w:space="0" w:color="auto"/>
              <w:right w:val="single" w:sz="4" w:space="0" w:color="auto"/>
            </w:tcBorders>
            <w:vAlign w:val="center"/>
          </w:tcPr>
          <w:p>
            <w:pPr>
              <w:pStyle w:val="TAC"/>
              <w:rPr>
                <w:del w:id="35" w:author="Kevin Wang (QMC)" w:date="2021-04-26T22:28:00Z"/>
                <w:rFonts w:eastAsia="Malgun Gothic"/>
              </w:rPr>
            </w:pPr>
            <w:del w:id="36" w:author="Kevin Wang (QMC)" w:date="2021-04-26T22:28:00Z">
              <w:r>
                <w:rPr>
                  <w:rFonts w:eastAsia="Malgun Gothic"/>
                </w:rPr>
                <w:delText>F</w:delText>
              </w:r>
              <w:r>
                <w:rPr>
                  <w:rFonts w:eastAsia="Malgun Gothic"/>
                  <w:vertAlign w:val="subscript"/>
                </w:rPr>
                <w:delText>DL_low</w:delText>
              </w:r>
            </w:del>
          </w:p>
        </w:tc>
        <w:tc>
          <w:tcPr>
            <w:tcW w:w="567" w:type="dxa"/>
            <w:tcBorders>
              <w:top w:val="single" w:sz="4" w:space="0" w:color="auto"/>
              <w:left w:val="nil"/>
              <w:bottom w:val="single" w:sz="4" w:space="0" w:color="auto"/>
              <w:right w:val="single" w:sz="4" w:space="0" w:color="auto"/>
            </w:tcBorders>
            <w:vAlign w:val="center"/>
          </w:tcPr>
          <w:p>
            <w:pPr>
              <w:pStyle w:val="TAC"/>
              <w:rPr>
                <w:del w:id="37" w:author="Kevin Wang (QMC)" w:date="2021-04-26T22:28:00Z"/>
                <w:rFonts w:eastAsia="Malgun Gothic"/>
              </w:rPr>
            </w:pPr>
            <w:del w:id="38" w:author="Kevin Wang (QMC)" w:date="2021-04-26T22:28:00Z">
              <w:r>
                <w:rPr>
                  <w:rFonts w:eastAsia="Malgun Gothic"/>
                </w:rPr>
                <w:delText>-</w:delText>
              </w:r>
            </w:del>
          </w:p>
        </w:tc>
        <w:tc>
          <w:tcPr>
            <w:tcW w:w="850" w:type="dxa"/>
            <w:tcBorders>
              <w:top w:val="single" w:sz="4" w:space="0" w:color="auto"/>
              <w:left w:val="nil"/>
              <w:bottom w:val="single" w:sz="4" w:space="0" w:color="auto"/>
              <w:right w:val="single" w:sz="4" w:space="0" w:color="auto"/>
            </w:tcBorders>
            <w:vAlign w:val="center"/>
          </w:tcPr>
          <w:p>
            <w:pPr>
              <w:pStyle w:val="TAC"/>
              <w:rPr>
                <w:del w:id="39" w:author="Kevin Wang (QMC)" w:date="2021-04-26T22:28:00Z"/>
                <w:rFonts w:eastAsia="Malgun Gothic"/>
              </w:rPr>
            </w:pPr>
            <w:del w:id="40" w:author="Kevin Wang (QMC)" w:date="2021-04-26T22:28:00Z">
              <w:r>
                <w:rPr>
                  <w:rFonts w:eastAsia="Malgun Gothic"/>
                </w:rPr>
                <w:delText>F</w:delText>
              </w:r>
              <w:r>
                <w:rPr>
                  <w:rFonts w:eastAsia="Malgun Gothic"/>
                  <w:vertAlign w:val="subscript"/>
                </w:rPr>
                <w:delText>DL_high</w:delText>
              </w:r>
            </w:del>
          </w:p>
        </w:tc>
        <w:tc>
          <w:tcPr>
            <w:tcW w:w="993" w:type="dxa"/>
            <w:tcBorders>
              <w:top w:val="single" w:sz="4" w:space="0" w:color="auto"/>
              <w:left w:val="nil"/>
              <w:bottom w:val="single" w:sz="4" w:space="0" w:color="auto"/>
              <w:right w:val="single" w:sz="4" w:space="0" w:color="auto"/>
            </w:tcBorders>
            <w:vAlign w:val="center"/>
          </w:tcPr>
          <w:p>
            <w:pPr>
              <w:pStyle w:val="TAC"/>
              <w:rPr>
                <w:del w:id="41" w:author="Kevin Wang (QMC)" w:date="2021-04-26T22:28:00Z"/>
                <w:rFonts w:eastAsia="Malgun Gothic"/>
              </w:rPr>
            </w:pPr>
            <w:del w:id="42" w:author="Kevin Wang (QMC)" w:date="2021-04-26T22:28:00Z">
              <w:r>
                <w:rPr>
                  <w:rFonts w:eastAsia="Malgun Gothic"/>
                </w:rPr>
                <w:delText>-50</w:delText>
              </w:r>
            </w:del>
          </w:p>
        </w:tc>
        <w:tc>
          <w:tcPr>
            <w:tcW w:w="850" w:type="dxa"/>
            <w:tcBorders>
              <w:top w:val="single" w:sz="4" w:space="0" w:color="auto"/>
              <w:left w:val="nil"/>
              <w:bottom w:val="single" w:sz="4" w:space="0" w:color="auto"/>
              <w:right w:val="single" w:sz="4" w:space="0" w:color="auto"/>
            </w:tcBorders>
            <w:noWrap/>
            <w:vAlign w:val="center"/>
          </w:tcPr>
          <w:p>
            <w:pPr>
              <w:pStyle w:val="TAC"/>
              <w:rPr>
                <w:del w:id="43" w:author="Kevin Wang (QMC)" w:date="2021-04-26T22:28:00Z"/>
                <w:rFonts w:eastAsia="Malgun Gothic"/>
              </w:rPr>
            </w:pPr>
            <w:del w:id="44" w:author="Kevin Wang (QMC)" w:date="2021-04-26T22:28:00Z">
              <w:r>
                <w:rPr>
                  <w:rFonts w:eastAsia="Malgun Gothic"/>
                </w:rPr>
                <w:delText>1</w:delText>
              </w:r>
            </w:del>
          </w:p>
        </w:tc>
        <w:tc>
          <w:tcPr>
            <w:tcW w:w="1134" w:type="dxa"/>
            <w:tcBorders>
              <w:top w:val="single" w:sz="4" w:space="0" w:color="auto"/>
              <w:left w:val="nil"/>
              <w:bottom w:val="single" w:sz="4" w:space="0" w:color="auto"/>
              <w:right w:val="single" w:sz="4" w:space="0" w:color="auto"/>
            </w:tcBorders>
            <w:noWrap/>
            <w:vAlign w:val="center"/>
          </w:tcPr>
          <w:p>
            <w:pPr>
              <w:pStyle w:val="TAC"/>
              <w:rPr>
                <w:del w:id="45" w:author="Kevin Wang (QMC)" w:date="2021-04-26T22:28:00Z"/>
                <w:rFonts w:eastAsia="Malgun Gothic"/>
              </w:rPr>
            </w:pPr>
          </w:p>
        </w:tc>
      </w:tr>
      <w:tr>
        <w:trPr>
          <w:trHeight w:val="188"/>
          <w:jc w:val="center"/>
          <w:del w:id="46" w:author="Kevin Wang (QMC)" w:date="2021-04-26T22:28:00Z"/>
        </w:trPr>
        <w:tc>
          <w:tcPr>
            <w:tcW w:w="1696" w:type="dxa"/>
            <w:vMerge/>
            <w:tcBorders>
              <w:left w:val="single" w:sz="4" w:space="0" w:color="auto"/>
              <w:right w:val="single" w:sz="4" w:space="0" w:color="auto"/>
            </w:tcBorders>
            <w:vAlign w:val="center"/>
          </w:tcPr>
          <w:p>
            <w:pPr>
              <w:rPr>
                <w:del w:id="47" w:author="Kevin Wang (QMC)" w:date="2021-04-26T22:28:00Z"/>
                <w:rFonts w:eastAsia="Malgun Gothic"/>
              </w:rPr>
            </w:pPr>
          </w:p>
        </w:tc>
        <w:tc>
          <w:tcPr>
            <w:tcW w:w="2835" w:type="dxa"/>
            <w:tcBorders>
              <w:top w:val="single" w:sz="4" w:space="0" w:color="auto"/>
              <w:left w:val="nil"/>
              <w:bottom w:val="single" w:sz="4" w:space="0" w:color="auto"/>
              <w:right w:val="single" w:sz="4" w:space="0" w:color="auto"/>
            </w:tcBorders>
          </w:tcPr>
          <w:p>
            <w:pPr>
              <w:pStyle w:val="TAL"/>
              <w:rPr>
                <w:del w:id="48" w:author="Kevin Wang (QMC)" w:date="2021-04-26T22:28:00Z"/>
                <w:rFonts w:eastAsia="Malgun Gothic"/>
              </w:rPr>
            </w:pPr>
            <w:del w:id="49" w:author="Kevin Wang (QMC)" w:date="2021-04-26T22:28:00Z">
              <w:r>
                <w:rPr>
                  <w:rFonts w:eastAsia="Malgun Gothic"/>
                </w:rPr>
                <w:delText xml:space="preserve">E-UTRA Band </w:delText>
              </w:r>
              <w:r>
                <w:rPr>
                  <w:lang w:eastAsia="zh-TW"/>
                </w:rPr>
                <w:delText>50, 75</w:delText>
              </w:r>
            </w:del>
          </w:p>
        </w:tc>
        <w:tc>
          <w:tcPr>
            <w:tcW w:w="851" w:type="dxa"/>
            <w:tcBorders>
              <w:top w:val="single" w:sz="4" w:space="0" w:color="auto"/>
              <w:left w:val="nil"/>
              <w:bottom w:val="single" w:sz="4" w:space="0" w:color="auto"/>
              <w:right w:val="single" w:sz="4" w:space="0" w:color="auto"/>
            </w:tcBorders>
            <w:vAlign w:val="center"/>
          </w:tcPr>
          <w:p>
            <w:pPr>
              <w:pStyle w:val="TAC"/>
              <w:rPr>
                <w:del w:id="50" w:author="Kevin Wang (QMC)" w:date="2021-04-26T22:28:00Z"/>
                <w:rFonts w:eastAsia="Malgun Gothic"/>
              </w:rPr>
            </w:pPr>
            <w:del w:id="51" w:author="Kevin Wang (QMC)" w:date="2021-04-26T22:28:00Z">
              <w:r>
                <w:rPr>
                  <w:rFonts w:eastAsia="Malgun Gothic"/>
                </w:rPr>
                <w:delText>F</w:delText>
              </w:r>
              <w:r>
                <w:rPr>
                  <w:rFonts w:eastAsia="Malgun Gothic"/>
                  <w:vertAlign w:val="subscript"/>
                </w:rPr>
                <w:delText>DL_low</w:delText>
              </w:r>
            </w:del>
          </w:p>
        </w:tc>
        <w:tc>
          <w:tcPr>
            <w:tcW w:w="567" w:type="dxa"/>
            <w:tcBorders>
              <w:top w:val="single" w:sz="4" w:space="0" w:color="auto"/>
              <w:left w:val="nil"/>
              <w:bottom w:val="single" w:sz="4" w:space="0" w:color="auto"/>
              <w:right w:val="single" w:sz="4" w:space="0" w:color="auto"/>
            </w:tcBorders>
            <w:vAlign w:val="center"/>
          </w:tcPr>
          <w:p>
            <w:pPr>
              <w:pStyle w:val="TAC"/>
              <w:rPr>
                <w:del w:id="52" w:author="Kevin Wang (QMC)" w:date="2021-04-26T22:28:00Z"/>
                <w:rFonts w:eastAsia="Malgun Gothic"/>
              </w:rPr>
            </w:pPr>
            <w:del w:id="53" w:author="Kevin Wang (QMC)" w:date="2021-04-26T22:28:00Z">
              <w:r>
                <w:rPr>
                  <w:rFonts w:eastAsia="Malgun Gothic"/>
                </w:rPr>
                <w:delText>-</w:delText>
              </w:r>
            </w:del>
          </w:p>
        </w:tc>
        <w:tc>
          <w:tcPr>
            <w:tcW w:w="850" w:type="dxa"/>
            <w:tcBorders>
              <w:top w:val="single" w:sz="4" w:space="0" w:color="auto"/>
              <w:left w:val="nil"/>
              <w:bottom w:val="single" w:sz="4" w:space="0" w:color="auto"/>
              <w:right w:val="single" w:sz="4" w:space="0" w:color="auto"/>
            </w:tcBorders>
            <w:vAlign w:val="center"/>
          </w:tcPr>
          <w:p>
            <w:pPr>
              <w:pStyle w:val="TAC"/>
              <w:rPr>
                <w:del w:id="54" w:author="Kevin Wang (QMC)" w:date="2021-04-26T22:28:00Z"/>
                <w:rFonts w:eastAsia="Malgun Gothic"/>
              </w:rPr>
            </w:pPr>
            <w:del w:id="55" w:author="Kevin Wang (QMC)" w:date="2021-04-26T22:28:00Z">
              <w:r>
                <w:rPr>
                  <w:rFonts w:eastAsia="Malgun Gothic"/>
                </w:rPr>
                <w:delText>F</w:delText>
              </w:r>
              <w:r>
                <w:rPr>
                  <w:rFonts w:eastAsia="Malgun Gothic"/>
                  <w:vertAlign w:val="subscript"/>
                </w:rPr>
                <w:delText>DL_high</w:delText>
              </w:r>
            </w:del>
          </w:p>
        </w:tc>
        <w:tc>
          <w:tcPr>
            <w:tcW w:w="993" w:type="dxa"/>
            <w:tcBorders>
              <w:top w:val="single" w:sz="4" w:space="0" w:color="auto"/>
              <w:left w:val="nil"/>
              <w:bottom w:val="single" w:sz="4" w:space="0" w:color="auto"/>
              <w:right w:val="single" w:sz="4" w:space="0" w:color="auto"/>
            </w:tcBorders>
            <w:vAlign w:val="center"/>
          </w:tcPr>
          <w:p>
            <w:pPr>
              <w:pStyle w:val="TAC"/>
              <w:rPr>
                <w:del w:id="56" w:author="Kevin Wang (QMC)" w:date="2021-04-26T22:28:00Z"/>
                <w:rFonts w:eastAsia="Malgun Gothic"/>
              </w:rPr>
            </w:pPr>
            <w:del w:id="57" w:author="Kevin Wang (QMC)" w:date="2021-04-26T22:28:00Z">
              <w:r>
                <w:rPr>
                  <w:rFonts w:eastAsia="Malgun Gothic"/>
                </w:rPr>
                <w:delText>-50</w:delText>
              </w:r>
            </w:del>
          </w:p>
        </w:tc>
        <w:tc>
          <w:tcPr>
            <w:tcW w:w="850" w:type="dxa"/>
            <w:tcBorders>
              <w:top w:val="single" w:sz="4" w:space="0" w:color="auto"/>
              <w:left w:val="nil"/>
              <w:bottom w:val="single" w:sz="4" w:space="0" w:color="auto"/>
              <w:right w:val="single" w:sz="4" w:space="0" w:color="auto"/>
            </w:tcBorders>
            <w:noWrap/>
            <w:vAlign w:val="center"/>
          </w:tcPr>
          <w:p>
            <w:pPr>
              <w:pStyle w:val="TAC"/>
              <w:rPr>
                <w:del w:id="58" w:author="Kevin Wang (QMC)" w:date="2021-04-26T22:28:00Z"/>
                <w:rFonts w:eastAsia="Malgun Gothic"/>
              </w:rPr>
            </w:pPr>
            <w:del w:id="59" w:author="Kevin Wang (QMC)" w:date="2021-04-26T22:28:00Z">
              <w:r>
                <w:rPr>
                  <w:rFonts w:eastAsia="Malgun Gothic"/>
                </w:rPr>
                <w:delText>1</w:delText>
              </w:r>
            </w:del>
          </w:p>
        </w:tc>
        <w:tc>
          <w:tcPr>
            <w:tcW w:w="1134" w:type="dxa"/>
            <w:tcBorders>
              <w:top w:val="single" w:sz="4" w:space="0" w:color="auto"/>
              <w:left w:val="nil"/>
              <w:bottom w:val="single" w:sz="4" w:space="0" w:color="auto"/>
              <w:right w:val="single" w:sz="4" w:space="0" w:color="auto"/>
            </w:tcBorders>
            <w:noWrap/>
            <w:vAlign w:val="center"/>
          </w:tcPr>
          <w:p>
            <w:pPr>
              <w:pStyle w:val="TAC"/>
              <w:rPr>
                <w:del w:id="60" w:author="Kevin Wang (QMC)" w:date="2021-04-26T22:28:00Z"/>
                <w:rFonts w:eastAsia="Malgun Gothic"/>
              </w:rPr>
            </w:pPr>
          </w:p>
        </w:tc>
      </w:tr>
      <w:tr>
        <w:trPr>
          <w:trHeight w:val="188"/>
          <w:jc w:val="center"/>
          <w:del w:id="61" w:author="Kevin Wang (QMC)" w:date="2021-04-26T22:28:00Z"/>
        </w:trPr>
        <w:tc>
          <w:tcPr>
            <w:tcW w:w="1696" w:type="dxa"/>
            <w:vMerge/>
            <w:tcBorders>
              <w:left w:val="single" w:sz="4" w:space="0" w:color="auto"/>
              <w:right w:val="single" w:sz="4" w:space="0" w:color="auto"/>
            </w:tcBorders>
            <w:vAlign w:val="center"/>
          </w:tcPr>
          <w:p>
            <w:pPr>
              <w:rPr>
                <w:del w:id="62" w:author="Kevin Wang (QMC)" w:date="2021-04-26T22:28:00Z"/>
                <w:rFonts w:eastAsia="Malgun Gothic"/>
              </w:rPr>
            </w:pPr>
          </w:p>
        </w:tc>
        <w:tc>
          <w:tcPr>
            <w:tcW w:w="2835" w:type="dxa"/>
            <w:tcBorders>
              <w:top w:val="single" w:sz="4" w:space="0" w:color="auto"/>
              <w:left w:val="nil"/>
              <w:bottom w:val="single" w:sz="4" w:space="0" w:color="auto"/>
              <w:right w:val="single" w:sz="4" w:space="0" w:color="auto"/>
            </w:tcBorders>
          </w:tcPr>
          <w:p>
            <w:pPr>
              <w:pStyle w:val="TAL"/>
              <w:rPr>
                <w:del w:id="63" w:author="Kevin Wang (QMC)" w:date="2021-04-26T22:28:00Z"/>
                <w:rFonts w:eastAsia="Malgun Gothic"/>
              </w:rPr>
            </w:pPr>
            <w:del w:id="64" w:author="Kevin Wang (QMC)" w:date="2021-04-26T22:28:00Z">
              <w:r>
                <w:rPr>
                  <w:rFonts w:eastAsia="Malgun Gothic"/>
                </w:rPr>
                <w:delText xml:space="preserve">E-UTRA Band </w:delText>
              </w:r>
              <w:r>
                <w:rPr>
                  <w:lang w:eastAsia="zh-TW"/>
                </w:rPr>
                <w:delText>24</w:delText>
              </w:r>
            </w:del>
          </w:p>
        </w:tc>
        <w:tc>
          <w:tcPr>
            <w:tcW w:w="851" w:type="dxa"/>
            <w:tcBorders>
              <w:top w:val="single" w:sz="4" w:space="0" w:color="auto"/>
              <w:left w:val="nil"/>
              <w:bottom w:val="single" w:sz="4" w:space="0" w:color="auto"/>
              <w:right w:val="single" w:sz="4" w:space="0" w:color="auto"/>
            </w:tcBorders>
            <w:vAlign w:val="center"/>
          </w:tcPr>
          <w:p>
            <w:pPr>
              <w:pStyle w:val="TAC"/>
              <w:rPr>
                <w:del w:id="65" w:author="Kevin Wang (QMC)" w:date="2021-04-26T22:28:00Z"/>
                <w:rFonts w:eastAsia="Malgun Gothic"/>
              </w:rPr>
            </w:pPr>
            <w:del w:id="66" w:author="Kevin Wang (QMC)" w:date="2021-04-26T22:28:00Z">
              <w:r>
                <w:rPr>
                  <w:rFonts w:eastAsia="Malgun Gothic"/>
                </w:rPr>
                <w:delText>F</w:delText>
              </w:r>
              <w:r>
                <w:rPr>
                  <w:rFonts w:eastAsia="Malgun Gothic"/>
                  <w:vertAlign w:val="subscript"/>
                </w:rPr>
                <w:delText>DL_low</w:delText>
              </w:r>
            </w:del>
          </w:p>
        </w:tc>
        <w:tc>
          <w:tcPr>
            <w:tcW w:w="567" w:type="dxa"/>
            <w:tcBorders>
              <w:top w:val="single" w:sz="4" w:space="0" w:color="auto"/>
              <w:left w:val="nil"/>
              <w:bottom w:val="single" w:sz="4" w:space="0" w:color="auto"/>
              <w:right w:val="single" w:sz="4" w:space="0" w:color="auto"/>
            </w:tcBorders>
            <w:vAlign w:val="center"/>
          </w:tcPr>
          <w:p>
            <w:pPr>
              <w:pStyle w:val="TAC"/>
              <w:rPr>
                <w:del w:id="67" w:author="Kevin Wang (QMC)" w:date="2021-04-26T22:28:00Z"/>
                <w:rFonts w:eastAsia="Malgun Gothic"/>
              </w:rPr>
            </w:pPr>
            <w:del w:id="68" w:author="Kevin Wang (QMC)" w:date="2021-04-26T22:28:00Z">
              <w:r>
                <w:rPr>
                  <w:rFonts w:eastAsia="Malgun Gothic"/>
                </w:rPr>
                <w:delText>-</w:delText>
              </w:r>
            </w:del>
          </w:p>
        </w:tc>
        <w:tc>
          <w:tcPr>
            <w:tcW w:w="850" w:type="dxa"/>
            <w:tcBorders>
              <w:top w:val="single" w:sz="4" w:space="0" w:color="auto"/>
              <w:left w:val="nil"/>
              <w:bottom w:val="single" w:sz="4" w:space="0" w:color="auto"/>
              <w:right w:val="single" w:sz="4" w:space="0" w:color="auto"/>
            </w:tcBorders>
            <w:vAlign w:val="center"/>
          </w:tcPr>
          <w:p>
            <w:pPr>
              <w:pStyle w:val="TAC"/>
              <w:rPr>
                <w:del w:id="69" w:author="Kevin Wang (QMC)" w:date="2021-04-26T22:28:00Z"/>
                <w:rFonts w:eastAsia="Malgun Gothic"/>
              </w:rPr>
            </w:pPr>
            <w:del w:id="70" w:author="Kevin Wang (QMC)" w:date="2021-04-26T22:28:00Z">
              <w:r>
                <w:rPr>
                  <w:rFonts w:eastAsia="Malgun Gothic"/>
                </w:rPr>
                <w:delText>F</w:delText>
              </w:r>
              <w:r>
                <w:rPr>
                  <w:rFonts w:eastAsia="Malgun Gothic"/>
                  <w:vertAlign w:val="subscript"/>
                </w:rPr>
                <w:delText>DL_high</w:delText>
              </w:r>
            </w:del>
          </w:p>
        </w:tc>
        <w:tc>
          <w:tcPr>
            <w:tcW w:w="993" w:type="dxa"/>
            <w:tcBorders>
              <w:top w:val="single" w:sz="4" w:space="0" w:color="auto"/>
              <w:left w:val="nil"/>
              <w:bottom w:val="single" w:sz="4" w:space="0" w:color="auto"/>
              <w:right w:val="single" w:sz="4" w:space="0" w:color="auto"/>
            </w:tcBorders>
            <w:vAlign w:val="center"/>
          </w:tcPr>
          <w:p>
            <w:pPr>
              <w:pStyle w:val="TAC"/>
              <w:rPr>
                <w:del w:id="71" w:author="Kevin Wang (QMC)" w:date="2021-04-26T22:28:00Z"/>
                <w:rFonts w:eastAsia="Malgun Gothic"/>
              </w:rPr>
            </w:pPr>
            <w:del w:id="72" w:author="Kevin Wang (QMC)" w:date="2021-04-26T22:28:00Z">
              <w:r>
                <w:rPr>
                  <w:rFonts w:eastAsia="Malgun Gothic"/>
                </w:rPr>
                <w:delText>-50</w:delText>
              </w:r>
            </w:del>
          </w:p>
        </w:tc>
        <w:tc>
          <w:tcPr>
            <w:tcW w:w="850" w:type="dxa"/>
            <w:tcBorders>
              <w:top w:val="single" w:sz="4" w:space="0" w:color="auto"/>
              <w:left w:val="nil"/>
              <w:bottom w:val="single" w:sz="4" w:space="0" w:color="auto"/>
              <w:right w:val="single" w:sz="4" w:space="0" w:color="auto"/>
            </w:tcBorders>
            <w:noWrap/>
            <w:vAlign w:val="center"/>
          </w:tcPr>
          <w:p>
            <w:pPr>
              <w:pStyle w:val="TAC"/>
              <w:rPr>
                <w:del w:id="73" w:author="Kevin Wang (QMC)" w:date="2021-04-26T22:28:00Z"/>
                <w:rFonts w:eastAsia="Malgun Gothic"/>
              </w:rPr>
            </w:pPr>
            <w:del w:id="74" w:author="Kevin Wang (QMC)" w:date="2021-04-26T22:28:00Z">
              <w:r>
                <w:rPr>
                  <w:rFonts w:eastAsia="Malgun Gothic"/>
                </w:rPr>
                <w:delText>1</w:delText>
              </w:r>
            </w:del>
          </w:p>
        </w:tc>
        <w:tc>
          <w:tcPr>
            <w:tcW w:w="1134" w:type="dxa"/>
            <w:tcBorders>
              <w:top w:val="single" w:sz="4" w:space="0" w:color="auto"/>
              <w:left w:val="nil"/>
              <w:bottom w:val="single" w:sz="4" w:space="0" w:color="auto"/>
              <w:right w:val="single" w:sz="4" w:space="0" w:color="auto"/>
            </w:tcBorders>
            <w:noWrap/>
            <w:vAlign w:val="center"/>
          </w:tcPr>
          <w:p>
            <w:pPr>
              <w:pStyle w:val="TAC"/>
              <w:rPr>
                <w:del w:id="75" w:author="Kevin Wang (QMC)" w:date="2021-04-26T22:28:00Z"/>
                <w:rFonts w:eastAsia="Malgun Gothic"/>
              </w:rPr>
            </w:pPr>
          </w:p>
        </w:tc>
      </w:tr>
      <w:tr>
        <w:trPr>
          <w:trHeight w:val="188"/>
          <w:jc w:val="center"/>
          <w:del w:id="76" w:author="Kevin Wang (QMC)" w:date="2021-04-26T22:28:00Z"/>
        </w:trPr>
        <w:tc>
          <w:tcPr>
            <w:tcW w:w="1696" w:type="dxa"/>
            <w:vMerge/>
            <w:tcBorders>
              <w:left w:val="single" w:sz="4" w:space="0" w:color="auto"/>
              <w:bottom w:val="single" w:sz="4" w:space="0" w:color="auto"/>
              <w:right w:val="single" w:sz="4" w:space="0" w:color="auto"/>
            </w:tcBorders>
            <w:vAlign w:val="center"/>
          </w:tcPr>
          <w:p>
            <w:pPr>
              <w:rPr>
                <w:del w:id="77" w:author="Kevin Wang (QMC)" w:date="2021-04-26T22:28:00Z"/>
                <w:rFonts w:eastAsia="Malgun Gothic"/>
              </w:rPr>
            </w:pPr>
          </w:p>
        </w:tc>
        <w:tc>
          <w:tcPr>
            <w:tcW w:w="2835" w:type="dxa"/>
            <w:tcBorders>
              <w:top w:val="single" w:sz="4" w:space="0" w:color="auto"/>
              <w:left w:val="nil"/>
              <w:bottom w:val="single" w:sz="4" w:space="0" w:color="auto"/>
              <w:right w:val="single" w:sz="4" w:space="0" w:color="auto"/>
            </w:tcBorders>
          </w:tcPr>
          <w:p>
            <w:pPr>
              <w:pStyle w:val="TAL"/>
              <w:rPr>
                <w:del w:id="78" w:author="Kevin Wang (QMC)" w:date="2021-04-26T22:28:00Z"/>
                <w:rFonts w:eastAsia="Malgun Gothic"/>
              </w:rPr>
            </w:pPr>
            <w:del w:id="79" w:author="Kevin Wang (QMC)" w:date="2021-04-26T22:28:00Z">
              <w:r>
                <w:rPr>
                  <w:rFonts w:eastAsia="Malgun Gothic"/>
                </w:rPr>
                <w:delText xml:space="preserve">E-UTRA Band </w:delText>
              </w:r>
              <w:r>
                <w:rPr>
                  <w:lang w:eastAsia="zh-TW"/>
                </w:rPr>
                <w:delText>70</w:delText>
              </w:r>
            </w:del>
          </w:p>
        </w:tc>
        <w:tc>
          <w:tcPr>
            <w:tcW w:w="851" w:type="dxa"/>
            <w:tcBorders>
              <w:top w:val="single" w:sz="4" w:space="0" w:color="auto"/>
              <w:left w:val="nil"/>
              <w:bottom w:val="single" w:sz="4" w:space="0" w:color="auto"/>
              <w:right w:val="single" w:sz="4" w:space="0" w:color="auto"/>
            </w:tcBorders>
            <w:vAlign w:val="center"/>
          </w:tcPr>
          <w:p>
            <w:pPr>
              <w:pStyle w:val="TAC"/>
              <w:rPr>
                <w:del w:id="80" w:author="Kevin Wang (QMC)" w:date="2021-04-26T22:28:00Z"/>
                <w:rFonts w:eastAsia="Malgun Gothic"/>
              </w:rPr>
            </w:pPr>
            <w:del w:id="81" w:author="Kevin Wang (QMC)" w:date="2021-04-26T22:28:00Z">
              <w:r>
                <w:rPr>
                  <w:rFonts w:eastAsia="Malgun Gothic"/>
                </w:rPr>
                <w:delText>F</w:delText>
              </w:r>
              <w:r>
                <w:rPr>
                  <w:rFonts w:eastAsia="Malgun Gothic"/>
                  <w:vertAlign w:val="subscript"/>
                </w:rPr>
                <w:delText>DL_low</w:delText>
              </w:r>
            </w:del>
          </w:p>
        </w:tc>
        <w:tc>
          <w:tcPr>
            <w:tcW w:w="567" w:type="dxa"/>
            <w:tcBorders>
              <w:top w:val="single" w:sz="4" w:space="0" w:color="auto"/>
              <w:left w:val="nil"/>
              <w:bottom w:val="single" w:sz="4" w:space="0" w:color="auto"/>
              <w:right w:val="single" w:sz="4" w:space="0" w:color="auto"/>
            </w:tcBorders>
            <w:vAlign w:val="center"/>
          </w:tcPr>
          <w:p>
            <w:pPr>
              <w:pStyle w:val="TAC"/>
              <w:rPr>
                <w:del w:id="82" w:author="Kevin Wang (QMC)" w:date="2021-04-26T22:28:00Z"/>
                <w:rFonts w:eastAsia="Malgun Gothic"/>
              </w:rPr>
            </w:pPr>
            <w:del w:id="83" w:author="Kevin Wang (QMC)" w:date="2021-04-26T22:28:00Z">
              <w:r>
                <w:rPr>
                  <w:rFonts w:eastAsia="Malgun Gothic"/>
                </w:rPr>
                <w:delText>-</w:delText>
              </w:r>
            </w:del>
          </w:p>
        </w:tc>
        <w:tc>
          <w:tcPr>
            <w:tcW w:w="850" w:type="dxa"/>
            <w:tcBorders>
              <w:top w:val="single" w:sz="4" w:space="0" w:color="auto"/>
              <w:left w:val="nil"/>
              <w:bottom w:val="single" w:sz="4" w:space="0" w:color="auto"/>
              <w:right w:val="single" w:sz="4" w:space="0" w:color="auto"/>
            </w:tcBorders>
            <w:vAlign w:val="center"/>
          </w:tcPr>
          <w:p>
            <w:pPr>
              <w:pStyle w:val="TAC"/>
              <w:rPr>
                <w:del w:id="84" w:author="Kevin Wang (QMC)" w:date="2021-04-26T22:28:00Z"/>
                <w:rFonts w:eastAsia="Malgun Gothic"/>
              </w:rPr>
            </w:pPr>
            <w:del w:id="85" w:author="Kevin Wang (QMC)" w:date="2021-04-26T22:28:00Z">
              <w:r>
                <w:rPr>
                  <w:rFonts w:eastAsia="Malgun Gothic"/>
                </w:rPr>
                <w:delText>F</w:delText>
              </w:r>
              <w:r>
                <w:rPr>
                  <w:rFonts w:eastAsia="Malgun Gothic"/>
                  <w:vertAlign w:val="subscript"/>
                </w:rPr>
                <w:delText>DL_high</w:delText>
              </w:r>
            </w:del>
          </w:p>
        </w:tc>
        <w:tc>
          <w:tcPr>
            <w:tcW w:w="993" w:type="dxa"/>
            <w:tcBorders>
              <w:top w:val="single" w:sz="4" w:space="0" w:color="auto"/>
              <w:left w:val="nil"/>
              <w:bottom w:val="single" w:sz="4" w:space="0" w:color="auto"/>
              <w:right w:val="single" w:sz="4" w:space="0" w:color="auto"/>
            </w:tcBorders>
            <w:vAlign w:val="center"/>
          </w:tcPr>
          <w:p>
            <w:pPr>
              <w:pStyle w:val="TAC"/>
              <w:rPr>
                <w:del w:id="86" w:author="Kevin Wang (QMC)" w:date="2021-04-26T22:28:00Z"/>
                <w:rFonts w:eastAsia="Malgun Gothic"/>
              </w:rPr>
            </w:pPr>
            <w:del w:id="87" w:author="Kevin Wang (QMC)" w:date="2021-04-26T22:28:00Z">
              <w:r>
                <w:rPr>
                  <w:rFonts w:eastAsia="Malgun Gothic"/>
                </w:rPr>
                <w:delText>-50</w:delText>
              </w:r>
            </w:del>
          </w:p>
        </w:tc>
        <w:tc>
          <w:tcPr>
            <w:tcW w:w="850" w:type="dxa"/>
            <w:tcBorders>
              <w:top w:val="single" w:sz="4" w:space="0" w:color="auto"/>
              <w:left w:val="nil"/>
              <w:bottom w:val="single" w:sz="4" w:space="0" w:color="auto"/>
              <w:right w:val="single" w:sz="4" w:space="0" w:color="auto"/>
            </w:tcBorders>
            <w:noWrap/>
            <w:vAlign w:val="center"/>
          </w:tcPr>
          <w:p>
            <w:pPr>
              <w:pStyle w:val="TAC"/>
              <w:rPr>
                <w:del w:id="88" w:author="Kevin Wang (QMC)" w:date="2021-04-26T22:28:00Z"/>
                <w:rFonts w:eastAsia="Malgun Gothic"/>
              </w:rPr>
            </w:pPr>
            <w:del w:id="89" w:author="Kevin Wang (QMC)" w:date="2021-04-26T22:28:00Z">
              <w:r>
                <w:rPr>
                  <w:rFonts w:eastAsia="Malgun Gothic"/>
                </w:rPr>
                <w:delText>1</w:delText>
              </w:r>
            </w:del>
          </w:p>
        </w:tc>
        <w:tc>
          <w:tcPr>
            <w:tcW w:w="1134" w:type="dxa"/>
            <w:tcBorders>
              <w:top w:val="single" w:sz="4" w:space="0" w:color="auto"/>
              <w:left w:val="nil"/>
              <w:bottom w:val="single" w:sz="4" w:space="0" w:color="auto"/>
              <w:right w:val="single" w:sz="4" w:space="0" w:color="auto"/>
            </w:tcBorders>
            <w:noWrap/>
            <w:vAlign w:val="center"/>
          </w:tcPr>
          <w:p>
            <w:pPr>
              <w:pStyle w:val="TAC"/>
              <w:rPr>
                <w:del w:id="90" w:author="Kevin Wang (QMC)" w:date="2021-04-26T22:28:00Z"/>
                <w:rFonts w:eastAsia="Malgun Gothic"/>
              </w:rPr>
            </w:pPr>
          </w:p>
        </w:tc>
      </w:tr>
      <w:tr>
        <w:trPr>
          <w:trHeight w:val="188"/>
          <w:jc w:val="center"/>
        </w:trPr>
        <w:tc>
          <w:tcPr>
            <w:tcW w:w="1696" w:type="dxa"/>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t>DC_66_n5</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43</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42, 48,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trHeight w:val="188"/>
          <w:jc w:val="center"/>
        </w:trPr>
        <w:tc>
          <w:tcPr>
            <w:tcW w:w="1696" w:type="dxa"/>
            <w:tcBorders>
              <w:top w:val="single" w:sz="4" w:space="0" w:color="auto"/>
              <w:left w:val="single" w:sz="4" w:space="0" w:color="auto"/>
              <w:bottom w:val="single" w:sz="4" w:space="0" w:color="auto"/>
              <w:right w:val="single" w:sz="4" w:space="0" w:color="auto"/>
            </w:tcBorders>
          </w:tcPr>
          <w:p>
            <w:pPr>
              <w:pStyle w:val="TAH"/>
              <w:rPr>
                <w:rFonts w:eastAsia="Malgun Gothic"/>
              </w:rPr>
            </w:pPr>
            <w:r>
              <w:lastRenderedPageBreak/>
              <w:t>DC_66_n78</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34, 39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9776" w:type="dxa"/>
            <w:gridSpan w:val="8"/>
            <w:tcBorders>
              <w:top w:val="single" w:sz="4" w:space="0" w:color="auto"/>
              <w:left w:val="single" w:sz="4" w:space="0" w:color="auto"/>
              <w:bottom w:val="single" w:sz="4" w:space="0" w:color="auto"/>
              <w:right w:val="single" w:sz="4" w:space="0" w:color="auto"/>
            </w:tcBorders>
            <w:vAlign w:val="center"/>
          </w:tcPr>
          <w:p>
            <w:pPr>
              <w:pStyle w:val="TAN"/>
            </w:pPr>
            <w:r>
              <w:t>NOTE 1:</w:t>
            </w:r>
            <w:r>
              <w:tab/>
              <w:t>F</w:t>
            </w:r>
            <w:r>
              <w:rPr>
                <w:vertAlign w:val="subscript"/>
              </w:rPr>
              <w:t>DL_low</w:t>
            </w:r>
            <w:r>
              <w:t xml:space="preserve"> and F</w:t>
            </w:r>
            <w:r>
              <w:rPr>
                <w:vertAlign w:val="subscript"/>
              </w:rPr>
              <w:t>DL_high</w:t>
            </w:r>
            <w:r>
              <w:t xml:space="preserve"> refer to each E-UTRA frequency band specified in Table 5.5-1 of TS 36.101 [5].</w:t>
            </w:r>
          </w:p>
          <w:p>
            <w:pPr>
              <w:pStyle w:val="TAN"/>
            </w:pPr>
            <w:r>
              <w:t>NOTE 2:</w:t>
            </w:r>
            <w:r>
              <w:tab/>
              <w:t>As exceptions, measurements with a level up to the applicable requirements defined in Table 6.6.3.1-2 of TS 38.101-3 [1]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pPr>
              <w:pStyle w:val="TAN"/>
            </w:pPr>
            <w:r>
              <w:rPr>
                <w:kern w:val="2"/>
              </w:rPr>
              <w:t>NOTE 3</w:t>
            </w:r>
            <w:r>
              <w:t>:</w:t>
            </w:r>
            <w:r>
              <w:tab/>
              <w:t>Applicable when co-existence with PHS system operating in 1884.5 -1915.7MHz</w:t>
            </w:r>
          </w:p>
          <w:p>
            <w:pPr>
              <w:pStyle w:val="TAN"/>
            </w:pPr>
            <w:r>
              <w:t>NOTE 4:</w:t>
            </w:r>
            <w:r>
              <w:tab/>
              <w:t>Void.</w:t>
            </w:r>
          </w:p>
          <w:p>
            <w:pPr>
              <w:pStyle w:val="TAN"/>
            </w:pPr>
            <w:r>
              <w:t>NOTE 5:</w:t>
            </w:r>
            <w:r>
              <w:tab/>
              <w:t>These requirements also apply for the frequency ranges that are less than F</w:t>
            </w:r>
            <w:r>
              <w:rPr>
                <w:vertAlign w:val="subscript"/>
              </w:rPr>
              <w:t>OOB</w:t>
            </w:r>
            <w:r>
              <w:t xml:space="preserve"> (MHz) in Table 6.5.3.1-1 and Table 6.5A.3.1-1 of TS 38.101-1 [2] from the edge of the channel bandwidth.</w:t>
            </w:r>
          </w:p>
          <w:p>
            <w:pPr>
              <w:pStyle w:val="TAN"/>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7:</w:t>
            </w:r>
            <w:r>
              <w:tab/>
              <w:t>For these adjacent bands, the emission limit could imply risk of harmful interference to UE(s) operating in the protected operating band.</w:t>
            </w:r>
          </w:p>
          <w:p>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pPr>
            <w:r>
              <w:t>NOTE 9:</w:t>
            </w:r>
            <w:r>
              <w:tab/>
              <w:t>Applicable when the assigned E-UTRA carrier is confined within 718 MHz and 748 MHz and when the channel bandwidth used is 5 or 10 MHz.</w:t>
            </w:r>
          </w:p>
          <w:p>
            <w:pPr>
              <w:pStyle w:val="TAN"/>
            </w:pPr>
            <w:r>
              <w:t>NOTE 10:</w:t>
            </w:r>
            <w:r>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pPr>
            <w:r>
              <w:t>NOTE 11:</w:t>
            </w:r>
            <w:r>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pPr>
            <w:r>
              <w:t>NOTE 12:</w:t>
            </w:r>
            <w:r>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pPr>
              <w:pStyle w:val="TAN"/>
              <w:rPr>
                <w:rFonts w:eastAsia="MS Mincho"/>
              </w:rPr>
            </w:pPr>
            <w:r>
              <w:t>NOTE13:</w:t>
            </w:r>
            <w:r>
              <w:tab/>
              <w:t>Void.</w:t>
            </w:r>
          </w:p>
          <w:p>
            <w:pPr>
              <w:pStyle w:val="TAN"/>
            </w:pPr>
            <w:r>
              <w:t>NOTE 14:</w:t>
            </w:r>
            <w:r>
              <w:tab/>
              <w:t>This requirement is applicable for 5 and 10 MHz E-UTRA channel bandwidth allocated within 718-728MHz. For carriers of 10 MHz bandwidth, this requirement applies for an uplink transmission bandwidth less than or equal to 30 RB with RBstart &gt; 1 and RBstart&lt;48.</w:t>
            </w:r>
          </w:p>
          <w:p>
            <w:pPr>
              <w:pStyle w:val="TAN"/>
              <w:rPr>
                <w:rFonts w:eastAsia="MS Mincho"/>
              </w:rPr>
            </w:pPr>
            <w:r>
              <w:t xml:space="preserve">NOTE </w:t>
            </w:r>
            <w:r>
              <w:rPr>
                <w:rFonts w:eastAsia="MS Mincho"/>
              </w:rPr>
              <w:t>15</w:t>
            </w:r>
            <w:r>
              <w:t>:</w:t>
            </w:r>
            <w:r>
              <w:tab/>
              <w:t>Void.</w:t>
            </w:r>
          </w:p>
          <w:p>
            <w:pPr>
              <w:pStyle w:val="TAN"/>
            </w:pPr>
            <w:r>
              <w:t>NOTE 16:</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pPr>
            <w:r>
              <w:t>NOTE 17:</w:t>
            </w:r>
            <w:r>
              <w:tab/>
              <w:t>This requirement is applicable in the case of a 10 MHz E-UTRA carrier confined within 703 MHz and 733 MHz, otherwise the requirement of -25 dBm with a measurement bandwidth of 8 MHz applies.</w:t>
            </w:r>
          </w:p>
          <w:p>
            <w:pPr>
              <w:pStyle w:val="TAN"/>
            </w:pPr>
            <w:r>
              <w:t>NOTE 18:</w:t>
            </w:r>
            <w:r>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pPr>
            <w:r>
              <w:t>NOTE 19:</w:t>
            </w:r>
            <w:r>
              <w:tab/>
              <w:t>Void.</w:t>
            </w:r>
          </w:p>
        </w:tc>
      </w:tr>
    </w:tbl>
    <w:p/>
    <w:p>
      <w:pPr>
        <w:pStyle w:val="TH"/>
      </w:pPr>
      <w:r>
        <w:lastRenderedPageBreak/>
        <w:t>Table 6.5B.3.3.2.5-2: Requirements for inter-band within FR1 for Rel-16</w:t>
      </w:r>
    </w:p>
    <w:tbl>
      <w:tblPr>
        <w:tblW w:w="9776" w:type="dxa"/>
        <w:jc w:val="center"/>
        <w:tblLayout w:type="fixed"/>
        <w:tblLook w:val="04A0" w:firstRow="1" w:lastRow="0" w:firstColumn="1" w:lastColumn="0" w:noHBand="0" w:noVBand="1"/>
      </w:tblPr>
      <w:tblGrid>
        <w:gridCol w:w="1694"/>
        <w:gridCol w:w="2833"/>
        <w:gridCol w:w="851"/>
        <w:gridCol w:w="283"/>
        <w:gridCol w:w="1134"/>
        <w:gridCol w:w="1138"/>
        <w:gridCol w:w="709"/>
        <w:gridCol w:w="1134"/>
        <w:tblGridChange w:id="91">
          <w:tblGrid>
            <w:gridCol w:w="5"/>
            <w:gridCol w:w="1689"/>
            <w:gridCol w:w="5"/>
            <w:gridCol w:w="2828"/>
            <w:gridCol w:w="5"/>
            <w:gridCol w:w="846"/>
            <w:gridCol w:w="5"/>
            <w:gridCol w:w="278"/>
            <w:gridCol w:w="5"/>
            <w:gridCol w:w="1129"/>
            <w:gridCol w:w="5"/>
            <w:gridCol w:w="1133"/>
            <w:gridCol w:w="5"/>
            <w:gridCol w:w="704"/>
            <w:gridCol w:w="5"/>
            <w:gridCol w:w="1129"/>
            <w:gridCol w:w="5"/>
          </w:tblGrid>
        </w:tblGridChange>
      </w:tblGrid>
      <w:tr>
        <w:trPr>
          <w:trHeight w:val="226"/>
          <w:jc w:val="center"/>
        </w:trPr>
        <w:tc>
          <w:tcPr>
            <w:tcW w:w="1694"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EN-DC Configuration</w:t>
            </w:r>
          </w:p>
        </w:tc>
        <w:tc>
          <w:tcPr>
            <w:tcW w:w="8082" w:type="dxa"/>
            <w:gridSpan w:val="7"/>
            <w:tcBorders>
              <w:top w:val="single" w:sz="4" w:space="0" w:color="auto"/>
              <w:left w:val="nil"/>
              <w:bottom w:val="single" w:sz="4" w:space="0" w:color="auto"/>
              <w:right w:val="single" w:sz="4" w:space="0" w:color="auto"/>
            </w:tcBorders>
            <w:hideMark/>
          </w:tcPr>
          <w:p>
            <w:pPr>
              <w:pStyle w:val="TAH"/>
            </w:pPr>
            <w:r>
              <w:t xml:space="preserve">Spurious emission </w:t>
            </w:r>
          </w:p>
        </w:tc>
      </w:tr>
      <w:tr>
        <w:trPr>
          <w:trHeight w:val="376"/>
          <w:jc w:val="center"/>
        </w:trPr>
        <w:tc>
          <w:tcPr>
            <w:tcW w:w="1694"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33" w:type="dxa"/>
            <w:tcBorders>
              <w:top w:val="single" w:sz="4" w:space="0" w:color="auto"/>
              <w:left w:val="nil"/>
              <w:bottom w:val="single" w:sz="4" w:space="0" w:color="auto"/>
              <w:right w:val="single" w:sz="4" w:space="0" w:color="auto"/>
            </w:tcBorders>
            <w:hideMark/>
          </w:tcPr>
          <w:p>
            <w:pPr>
              <w:pStyle w:val="TAH"/>
            </w:pPr>
            <w:r>
              <w:t>Protected band</w:t>
            </w:r>
          </w:p>
        </w:tc>
        <w:tc>
          <w:tcPr>
            <w:tcW w:w="2268" w:type="dxa"/>
            <w:gridSpan w:val="3"/>
            <w:tcBorders>
              <w:top w:val="single" w:sz="4" w:space="0" w:color="auto"/>
              <w:left w:val="nil"/>
              <w:bottom w:val="single" w:sz="4" w:space="0" w:color="auto"/>
              <w:right w:val="single" w:sz="4" w:space="0" w:color="auto"/>
            </w:tcBorders>
            <w:hideMark/>
          </w:tcPr>
          <w:p>
            <w:pPr>
              <w:pStyle w:val="TAH"/>
            </w:pPr>
            <w:r>
              <w:t>Frequency range (MHz)</w:t>
            </w:r>
          </w:p>
        </w:tc>
        <w:tc>
          <w:tcPr>
            <w:tcW w:w="1138" w:type="dxa"/>
            <w:tcBorders>
              <w:top w:val="single" w:sz="4" w:space="0" w:color="auto"/>
              <w:left w:val="nil"/>
              <w:bottom w:val="single" w:sz="4" w:space="0" w:color="auto"/>
              <w:right w:val="single" w:sz="4" w:space="0" w:color="auto"/>
            </w:tcBorders>
            <w:hideMark/>
          </w:tcPr>
          <w:p>
            <w:pPr>
              <w:pStyle w:val="TAH"/>
            </w:pPr>
            <w:r>
              <w:t>Maximum Level (dBm)</w:t>
            </w:r>
          </w:p>
        </w:tc>
        <w:tc>
          <w:tcPr>
            <w:tcW w:w="709" w:type="dxa"/>
            <w:tcBorders>
              <w:top w:val="single" w:sz="4" w:space="0" w:color="auto"/>
              <w:left w:val="nil"/>
              <w:bottom w:val="single" w:sz="4" w:space="0" w:color="auto"/>
              <w:right w:val="single" w:sz="4" w:space="0" w:color="auto"/>
            </w:tcBorders>
            <w:hideMark/>
          </w:tcPr>
          <w:p>
            <w:pPr>
              <w:pStyle w:val="TAH"/>
            </w:pPr>
            <w:r>
              <w:t>MBW (MHz)</w:t>
            </w:r>
          </w:p>
        </w:tc>
        <w:tc>
          <w:tcPr>
            <w:tcW w:w="1134" w:type="dxa"/>
            <w:tcBorders>
              <w:top w:val="single" w:sz="4" w:space="0" w:color="auto"/>
              <w:left w:val="nil"/>
              <w:bottom w:val="single" w:sz="4" w:space="0" w:color="auto"/>
              <w:right w:val="single" w:sz="4" w:space="0" w:color="auto"/>
            </w:tcBorders>
            <w:noWrap/>
            <w:hideMark/>
          </w:tcPr>
          <w:p>
            <w:pPr>
              <w:pStyle w:val="TAH"/>
            </w:pPr>
            <w:r>
              <w:t>NOTE</w:t>
            </w:r>
          </w:p>
        </w:tc>
      </w:tr>
      <w:tr>
        <w:trPr>
          <w:trHeight w:val="188"/>
          <w:jc w:val="center"/>
        </w:trPr>
        <w:tc>
          <w:tcPr>
            <w:tcW w:w="1694" w:type="dxa"/>
            <w:tcBorders>
              <w:top w:val="single" w:sz="4" w:space="0" w:color="auto"/>
              <w:left w:val="single" w:sz="4" w:space="0" w:color="auto"/>
              <w:right w:val="single" w:sz="4" w:space="0" w:color="auto"/>
            </w:tcBorders>
          </w:tcPr>
          <w:p>
            <w:pPr>
              <w:pStyle w:val="TAH"/>
            </w:pPr>
            <w:r>
              <w:rPr>
                <w:lang w:eastAsia="ja-JP"/>
              </w:rPr>
              <w:t>DC</w:t>
            </w:r>
            <w:r>
              <w:t>_</w:t>
            </w:r>
            <w:r>
              <w:rPr>
                <w:lang w:eastAsia="zh-TW"/>
              </w:rPr>
              <w:t>1_n3</w:t>
            </w:r>
          </w:p>
        </w:tc>
        <w:tc>
          <w:tcPr>
            <w:tcW w:w="2833" w:type="dxa"/>
            <w:tcBorders>
              <w:top w:val="single" w:sz="4" w:space="0" w:color="auto"/>
              <w:left w:val="nil"/>
              <w:bottom w:val="single" w:sz="4" w:space="0" w:color="auto"/>
              <w:right w:val="single" w:sz="4" w:space="0" w:color="auto"/>
            </w:tcBorders>
            <w:vAlign w:val="bottom"/>
          </w:tcPr>
          <w:p>
            <w:pPr>
              <w:pStyle w:val="TAL"/>
            </w:pPr>
            <w:r>
              <w:t>E-UTRA Band 1, 11, 21, 32, 43, 50, 65, 74, 75</w:t>
            </w:r>
          </w:p>
        </w:tc>
        <w:tc>
          <w:tcPr>
            <w:tcW w:w="851"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77, 78</w:t>
            </w:r>
          </w:p>
        </w:tc>
        <w:tc>
          <w:tcPr>
            <w:tcW w:w="851"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2</w:t>
            </w:r>
          </w:p>
        </w:tc>
      </w:tr>
      <w:tr>
        <w:trPr>
          <w:trHeight w:val="188"/>
          <w:jc w:val="center"/>
        </w:trPr>
        <w:tc>
          <w:tcPr>
            <w:tcW w:w="1694" w:type="dxa"/>
            <w:tcBorders>
              <w:top w:val="single" w:sz="4" w:space="0" w:color="auto"/>
              <w:left w:val="single" w:sz="4" w:space="0" w:color="auto"/>
              <w:right w:val="single" w:sz="4" w:space="0" w:color="auto"/>
            </w:tcBorders>
          </w:tcPr>
          <w:p>
            <w:pPr>
              <w:pStyle w:val="TAH"/>
            </w:pPr>
            <w:r>
              <w:t>DC_2_n5</w:t>
            </w:r>
          </w:p>
        </w:tc>
        <w:tc>
          <w:tcPr>
            <w:tcW w:w="2833" w:type="dxa"/>
            <w:tcBorders>
              <w:top w:val="single" w:sz="4" w:space="0" w:color="auto"/>
              <w:left w:val="nil"/>
              <w:bottom w:val="single" w:sz="4" w:space="0" w:color="auto"/>
              <w:right w:val="single" w:sz="4" w:space="0" w:color="auto"/>
            </w:tcBorders>
          </w:tcPr>
          <w:p>
            <w:pPr>
              <w:pStyle w:val="TAL"/>
            </w:pPr>
            <w:r>
              <w:t>E-UTRA Band 42, 48</w:t>
            </w:r>
          </w:p>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tcPr>
          <w:p>
            <w:pPr>
              <w:pStyle w:val="TAL"/>
            </w:pPr>
            <w:r>
              <w:t>E-UTRA Band 41, 43</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val="restart"/>
            <w:tcBorders>
              <w:left w:val="single" w:sz="4" w:space="0" w:color="auto"/>
              <w:right w:val="single" w:sz="4" w:space="0" w:color="auto"/>
            </w:tcBorders>
          </w:tcPr>
          <w:p>
            <w:pPr>
              <w:pStyle w:val="TAH"/>
            </w:pPr>
            <w:r>
              <w:t>DC_2_n41</w:t>
            </w:r>
          </w:p>
        </w:tc>
        <w:tc>
          <w:tcPr>
            <w:tcW w:w="2833" w:type="dxa"/>
            <w:tcBorders>
              <w:top w:val="single" w:sz="4" w:space="0" w:color="auto"/>
              <w:left w:val="nil"/>
              <w:bottom w:val="single" w:sz="4" w:space="0" w:color="auto"/>
              <w:right w:val="single" w:sz="4" w:space="0" w:color="auto"/>
            </w:tcBorders>
          </w:tcPr>
          <w:p>
            <w:pPr>
              <w:pStyle w:val="TAL"/>
            </w:pPr>
            <w:r>
              <w:rPr>
                <w:rFonts w:cs="Arial"/>
                <w:color w:val="000000"/>
                <w:sz w:val="16"/>
                <w:szCs w:val="16"/>
              </w:rPr>
              <w:t>E-UTRA Band 12, 13, 14, 17, 28, 29, 42, 71</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Bands 2</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5</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r>
              <w:t>DC_3_n1</w:t>
            </w:r>
          </w:p>
        </w:tc>
        <w:tc>
          <w:tcPr>
            <w:tcW w:w="2833" w:type="dxa"/>
            <w:tcBorders>
              <w:top w:val="single" w:sz="4" w:space="0" w:color="auto"/>
              <w:left w:val="nil"/>
              <w:bottom w:val="single" w:sz="4" w:space="0" w:color="auto"/>
              <w:right w:val="single" w:sz="4" w:space="0" w:color="auto"/>
            </w:tcBorders>
            <w:vAlign w:val="bottom"/>
          </w:tcPr>
          <w:p>
            <w:pPr>
              <w:pStyle w:val="TAL"/>
            </w:pPr>
            <w:r>
              <w:t>E-UTRA Band 1, 11, 21, 32, 50, 65, 74, 75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r>
              <w:rPr>
                <w:rFonts w:eastAsia="Malgun Gothic"/>
              </w:rPr>
              <w:t>DC_5</w:t>
            </w:r>
            <w:r>
              <w:t>_</w:t>
            </w:r>
            <w:r>
              <w:rPr>
                <w:rFonts w:eastAsia="Malgun Gothic"/>
              </w:rPr>
              <w:t>n2</w:t>
            </w:r>
          </w:p>
        </w:tc>
        <w:tc>
          <w:tcPr>
            <w:tcW w:w="2833" w:type="dxa"/>
            <w:tcBorders>
              <w:top w:val="single" w:sz="4" w:space="0" w:color="auto"/>
              <w:left w:val="nil"/>
              <w:bottom w:val="single" w:sz="4" w:space="0" w:color="auto"/>
              <w:right w:val="single" w:sz="4" w:space="0" w:color="auto"/>
            </w:tcBorders>
            <w:vAlign w:val="bottom"/>
          </w:tcPr>
          <w:p>
            <w:pPr>
              <w:pStyle w:val="TAL"/>
            </w:pPr>
            <w:r>
              <w:rPr>
                <w:rFonts w:cs="Arial"/>
                <w:color w:val="000000"/>
                <w:szCs w:val="18"/>
              </w:rPr>
              <w:t>E-UTRA Band 42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center"/>
          </w:tcPr>
          <w:p>
            <w:pPr>
              <w:pStyle w:val="TAL"/>
              <w:rPr>
                <w:rFonts w:cs="Arial"/>
                <w:color w:val="000000"/>
                <w:szCs w:val="18"/>
              </w:rPr>
            </w:pPr>
            <w:r>
              <w:rPr>
                <w:rFonts w:cs="Arial"/>
                <w:color w:val="000000"/>
                <w:szCs w:val="18"/>
              </w:rPr>
              <w:t>E-UTRA Band 41, 43</w:t>
            </w:r>
          </w:p>
          <w:p>
            <w:pPr>
              <w:pStyle w:val="TAL"/>
            </w:pPr>
            <w:r>
              <w:rPr>
                <w:szCs w:val="18"/>
                <w:lang w:eastAsia="ja-JP"/>
              </w:rP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r>
              <w:t>DC_7_n1</w:t>
            </w:r>
          </w:p>
        </w:tc>
        <w:tc>
          <w:tcPr>
            <w:tcW w:w="2833" w:type="dxa"/>
            <w:tcBorders>
              <w:top w:val="single" w:sz="4" w:space="0" w:color="auto"/>
              <w:left w:val="nil"/>
              <w:bottom w:val="single" w:sz="4" w:space="0" w:color="auto"/>
              <w:right w:val="single" w:sz="4" w:space="0" w:color="auto"/>
            </w:tcBorders>
            <w:vAlign w:val="bottom"/>
          </w:tcPr>
          <w:p>
            <w:pPr>
              <w:pStyle w:val="TAL"/>
            </w:pPr>
            <w:r>
              <w:t>E-UTRA Band 32, 50, 51, 75, 76 or NR Band n79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DC_7_n3</w:t>
            </w:r>
          </w:p>
        </w:tc>
        <w:tc>
          <w:tcPr>
            <w:tcW w:w="2833" w:type="dxa"/>
            <w:tcBorders>
              <w:top w:val="single" w:sz="4" w:space="0" w:color="auto"/>
              <w:left w:val="nil"/>
              <w:bottom w:val="single" w:sz="4" w:space="0" w:color="auto"/>
              <w:right w:val="single" w:sz="4" w:space="0" w:color="auto"/>
            </w:tcBorders>
            <w:vAlign w:val="bottom"/>
          </w:tcPr>
          <w:p>
            <w:pPr>
              <w:pStyle w:val="TAL"/>
            </w:pPr>
            <w:r>
              <w:t>E-UTRA Band 5, 8, 20, 26, 27, 28, 67, 68, 42,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77, 78</w:t>
            </w:r>
          </w:p>
        </w:tc>
        <w:tc>
          <w:tcPr>
            <w:tcW w:w="851"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r>
              <w:t>DC_8_n1</w:t>
            </w:r>
          </w:p>
        </w:tc>
        <w:tc>
          <w:tcPr>
            <w:tcW w:w="2833" w:type="dxa"/>
            <w:tcBorders>
              <w:top w:val="single" w:sz="4" w:space="0" w:color="auto"/>
              <w:left w:val="nil"/>
              <w:bottom w:val="single" w:sz="4" w:space="0" w:color="auto"/>
              <w:right w:val="single" w:sz="4" w:space="0" w:color="auto"/>
            </w:tcBorders>
            <w:vAlign w:val="bottom"/>
          </w:tcPr>
          <w:p>
            <w:pPr>
              <w:pStyle w:val="TAL"/>
            </w:pPr>
            <w:r>
              <w:t>E-UTRA Band 43 or NR Band n77, n78, n79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DC_8_n3</w:t>
            </w:r>
          </w:p>
        </w:tc>
        <w:tc>
          <w:tcPr>
            <w:tcW w:w="2833" w:type="dxa"/>
            <w:tcBorders>
              <w:top w:val="single" w:sz="4" w:space="0" w:color="auto"/>
              <w:left w:val="nil"/>
              <w:bottom w:val="single" w:sz="4" w:space="0" w:color="auto"/>
              <w:right w:val="single" w:sz="4" w:space="0" w:color="auto"/>
            </w:tcBorders>
            <w:vAlign w:val="bottom"/>
          </w:tcPr>
          <w:p>
            <w:pPr>
              <w:pStyle w:val="TAL"/>
            </w:pPr>
            <w:r>
              <w:t>E-UTRA Band 20, 28, 38, 44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E-UTRA Band 7, 22, 41, 42, 43 or NR Band n77, n78, n79</w:t>
            </w:r>
          </w:p>
        </w:tc>
        <w:tc>
          <w:tcPr>
            <w:tcW w:w="851"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Frequency range</w:t>
            </w:r>
          </w:p>
        </w:tc>
        <w:tc>
          <w:tcPr>
            <w:tcW w:w="851"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860 </w:t>
            </w:r>
          </w:p>
        </w:tc>
        <w:tc>
          <w:tcPr>
            <w:tcW w:w="283"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890</w:t>
            </w:r>
          </w:p>
        </w:tc>
        <w:tc>
          <w:tcPr>
            <w:tcW w:w="1138"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-40</w:t>
            </w:r>
          </w:p>
        </w:tc>
        <w:tc>
          <w:tcPr>
            <w:tcW w:w="709" w:type="dxa"/>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5, 12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DC_7_n66</w:t>
            </w:r>
          </w:p>
        </w:tc>
        <w:tc>
          <w:tcPr>
            <w:tcW w:w="2833" w:type="dxa"/>
            <w:tcBorders>
              <w:top w:val="single" w:sz="4" w:space="0" w:color="auto"/>
              <w:left w:val="nil"/>
              <w:bottom w:val="single" w:sz="4" w:space="0" w:color="auto"/>
              <w:right w:val="single" w:sz="4" w:space="0" w:color="auto"/>
            </w:tcBorders>
            <w:vAlign w:val="bottom"/>
          </w:tcPr>
          <w:p>
            <w:pPr>
              <w:pStyle w:val="TAL"/>
            </w:pPr>
            <w:r>
              <w:t>E-UTRA Band 5, 12, 13, 14, 17, 26, 27, 28, 29, 85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E-UTRA band 42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tcBorders>
              <w:top w:val="single" w:sz="4" w:space="0" w:color="auto"/>
              <w:left w:val="single" w:sz="4" w:space="0" w:color="auto"/>
              <w:right w:val="single" w:sz="4" w:space="0" w:color="auto"/>
            </w:tcBorders>
          </w:tcPr>
          <w:p>
            <w:pPr>
              <w:pStyle w:val="TAH"/>
            </w:pPr>
            <w:r>
              <w:rPr>
                <w:rFonts w:eastAsia="Calibri Light"/>
              </w:rPr>
              <w:t>DC_12_n66</w:t>
            </w:r>
          </w:p>
        </w:tc>
        <w:tc>
          <w:tcPr>
            <w:tcW w:w="2833" w:type="dxa"/>
            <w:tcBorders>
              <w:top w:val="single" w:sz="4" w:space="0" w:color="auto"/>
              <w:left w:val="nil"/>
              <w:bottom w:val="single" w:sz="4" w:space="0" w:color="auto"/>
              <w:right w:val="single" w:sz="4" w:space="0" w:color="auto"/>
            </w:tcBorders>
            <w:vAlign w:val="center"/>
          </w:tcPr>
          <w:p>
            <w:pPr>
              <w:pStyle w:val="TAL"/>
            </w:pPr>
            <w:r>
              <w:rPr>
                <w:color w:val="000000"/>
                <w:szCs w:val="18"/>
              </w:rPr>
              <w:t>E-UTRA Band 41, 53</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DC_12_n78</w:t>
            </w:r>
          </w:p>
        </w:tc>
        <w:tc>
          <w:tcPr>
            <w:tcW w:w="2833" w:type="dxa"/>
            <w:tcBorders>
              <w:top w:val="single" w:sz="4" w:space="0" w:color="auto"/>
              <w:left w:val="nil"/>
              <w:bottom w:val="single" w:sz="4" w:space="0" w:color="auto"/>
              <w:right w:val="single" w:sz="4" w:space="0" w:color="auto"/>
            </w:tcBorders>
            <w:vAlign w:val="bottom"/>
          </w:tcPr>
          <w:p>
            <w:pPr>
              <w:pStyle w:val="TAL"/>
            </w:pPr>
            <w:r>
              <w:t>E-UTRA Band 2, 7, 25, 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tcPr>
          <w:p>
            <w:pPr>
              <w:pStyle w:val="TAL"/>
            </w:pPr>
            <w:r>
              <w:t>E-UTRA Band 4, 66</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pPr>
            <w:r>
              <w:t>-50</w:t>
            </w:r>
          </w:p>
        </w:tc>
        <w:tc>
          <w:tcPr>
            <w:tcW w:w="709" w:type="dxa"/>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tcPr>
          <w:p>
            <w:pPr>
              <w:pStyle w:val="TAL"/>
            </w:pPr>
            <w:r>
              <w:t>Frequency range</w:t>
            </w:r>
          </w:p>
        </w:tc>
        <w:tc>
          <w:tcPr>
            <w:tcW w:w="851" w:type="dxa"/>
            <w:tcBorders>
              <w:top w:val="single" w:sz="4" w:space="0" w:color="auto"/>
              <w:left w:val="nil"/>
              <w:bottom w:val="single" w:sz="4" w:space="0" w:color="auto"/>
              <w:right w:val="single" w:sz="4" w:space="0" w:color="auto"/>
            </w:tcBorders>
          </w:tcPr>
          <w:p>
            <w:pPr>
              <w:pStyle w:val="TAC"/>
            </w:pPr>
            <w:r>
              <w:t>1884.5</w:t>
            </w:r>
          </w:p>
        </w:tc>
        <w:tc>
          <w:tcPr>
            <w:tcW w:w="283"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tcPr>
          <w:p>
            <w:pPr>
              <w:pStyle w:val="TAC"/>
            </w:pPr>
            <w:r>
              <w:t>1915.7</w:t>
            </w:r>
          </w:p>
        </w:tc>
        <w:tc>
          <w:tcPr>
            <w:tcW w:w="1138" w:type="dxa"/>
            <w:tcBorders>
              <w:top w:val="single" w:sz="4" w:space="0" w:color="auto"/>
              <w:left w:val="nil"/>
              <w:bottom w:val="single" w:sz="4" w:space="0" w:color="auto"/>
              <w:right w:val="single" w:sz="4" w:space="0" w:color="auto"/>
            </w:tcBorders>
          </w:tcPr>
          <w:p>
            <w:pPr>
              <w:pStyle w:val="TAC"/>
            </w:pPr>
            <w:r>
              <w:t>-41</w:t>
            </w:r>
          </w:p>
        </w:tc>
        <w:tc>
          <w:tcPr>
            <w:tcW w:w="709" w:type="dxa"/>
            <w:tcBorders>
              <w:top w:val="single" w:sz="4" w:space="0" w:color="auto"/>
              <w:left w:val="nil"/>
              <w:bottom w:val="single" w:sz="4" w:space="0" w:color="auto"/>
              <w:right w:val="single" w:sz="4" w:space="0" w:color="auto"/>
            </w:tcBorders>
            <w:noWrap/>
          </w:tcPr>
          <w:p>
            <w:pPr>
              <w:pStyle w:val="TAC"/>
            </w:pPr>
            <w:r>
              <w:t>0.3</w:t>
            </w:r>
          </w:p>
        </w:tc>
        <w:tc>
          <w:tcPr>
            <w:tcW w:w="1134" w:type="dxa"/>
            <w:tcBorders>
              <w:top w:val="single" w:sz="4" w:space="0" w:color="auto"/>
              <w:left w:val="nil"/>
              <w:bottom w:val="single" w:sz="4" w:space="0" w:color="auto"/>
              <w:right w:val="single" w:sz="4" w:space="0" w:color="auto"/>
            </w:tcBorders>
            <w:noWrap/>
          </w:tcPr>
          <w:p>
            <w:pPr>
              <w:pStyle w:val="TAC"/>
            </w:pPr>
            <w:r>
              <w:t>3</w:t>
            </w:r>
          </w:p>
        </w:tc>
      </w:tr>
      <w:tr>
        <w:trPr>
          <w:trHeight w:val="188"/>
          <w:jc w:val="center"/>
        </w:trPr>
        <w:tc>
          <w:tcPr>
            <w:tcW w:w="1694" w:type="dxa"/>
            <w:tcBorders>
              <w:top w:val="single" w:sz="4" w:space="0" w:color="auto"/>
              <w:left w:val="single" w:sz="4" w:space="0" w:color="auto"/>
              <w:right w:val="single" w:sz="4" w:space="0" w:color="auto"/>
            </w:tcBorders>
          </w:tcPr>
          <w:p>
            <w:pPr>
              <w:pStyle w:val="TAH"/>
            </w:pPr>
            <w:r>
              <w:t>DC_13_n2</w:t>
            </w:r>
          </w:p>
        </w:tc>
        <w:tc>
          <w:tcPr>
            <w:tcW w:w="2833" w:type="dxa"/>
            <w:tcBorders>
              <w:top w:val="single" w:sz="4" w:space="0" w:color="auto"/>
              <w:left w:val="nil"/>
              <w:bottom w:val="single" w:sz="4" w:space="0" w:color="auto"/>
              <w:right w:val="single" w:sz="4" w:space="0" w:color="auto"/>
            </w:tcBorders>
            <w:vAlign w:val="bottom"/>
          </w:tcPr>
          <w:p>
            <w:pPr>
              <w:pStyle w:val="TAL"/>
            </w:pPr>
            <w:r>
              <w:t>E-UTRA Band 41</w:t>
            </w:r>
          </w:p>
        </w:tc>
        <w:tc>
          <w:tcPr>
            <w:tcW w:w="851"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DC_13_n66</w:t>
            </w:r>
          </w:p>
        </w:tc>
        <w:tc>
          <w:tcPr>
            <w:tcW w:w="2833" w:type="dxa"/>
            <w:tcBorders>
              <w:top w:val="single" w:sz="4" w:space="0" w:color="auto"/>
              <w:left w:val="nil"/>
              <w:bottom w:val="single" w:sz="4" w:space="0" w:color="auto"/>
              <w:right w:val="single" w:sz="4" w:space="0" w:color="auto"/>
            </w:tcBorders>
            <w:vAlign w:val="bottom"/>
          </w:tcPr>
          <w:p>
            <w:pPr>
              <w:pStyle w:val="TAL"/>
            </w:pPr>
            <w:r>
              <w:t>E-UTRA Band 41, 53</w:t>
            </w:r>
          </w:p>
        </w:tc>
        <w:tc>
          <w:tcPr>
            <w:tcW w:w="851" w:type="dxa"/>
            <w:tcBorders>
              <w:top w:val="single" w:sz="4" w:space="0" w:color="auto"/>
              <w:left w:val="nil"/>
              <w:bottom w:val="single" w:sz="4" w:space="0" w:color="auto"/>
              <w:right w:val="single" w:sz="4" w:space="0" w:color="auto"/>
            </w:tcBorders>
            <w:vAlign w:val="center"/>
          </w:tcPr>
          <w:p>
            <w:pPr>
              <w:pStyle w:val="TAC"/>
            </w:pPr>
            <w:r>
              <w:rPr>
                <w:rFonts w:eastAsia="Bookman Old Style"/>
              </w:rPr>
              <w:t>F</w:t>
            </w:r>
            <w:r>
              <w:rPr>
                <w:rFonts w:eastAsia="Bookman Old Style"/>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1134" w:type="dxa"/>
            <w:tcBorders>
              <w:top w:val="single" w:sz="4" w:space="0" w:color="auto"/>
              <w:left w:val="nil"/>
              <w:bottom w:val="single" w:sz="4" w:space="0" w:color="auto"/>
              <w:right w:val="single" w:sz="4" w:space="0" w:color="auto"/>
            </w:tcBorders>
            <w:vAlign w:val="center"/>
          </w:tcPr>
          <w:p>
            <w:pPr>
              <w:pStyle w:val="TAC"/>
            </w:pPr>
            <w:r>
              <w:rPr>
                <w:rFonts w:eastAsia="Bookman Old Style"/>
              </w:rPr>
              <w:t>F</w:t>
            </w:r>
            <w:r>
              <w:rPr>
                <w:rFonts w:eastAsia="Bookman Old Style"/>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val="restart"/>
            <w:tcBorders>
              <w:left w:val="single" w:sz="4" w:space="0" w:color="auto"/>
              <w:right w:val="single" w:sz="4" w:space="0" w:color="auto"/>
            </w:tcBorders>
          </w:tcPr>
          <w:p>
            <w:pPr>
              <w:pStyle w:val="TAH"/>
            </w:pPr>
            <w:r>
              <w:t>DC_20_n1</w:t>
            </w:r>
          </w:p>
        </w:tc>
        <w:tc>
          <w:tcPr>
            <w:tcW w:w="2833" w:type="dxa"/>
            <w:tcBorders>
              <w:top w:val="single" w:sz="4" w:space="0" w:color="auto"/>
              <w:left w:val="nil"/>
              <w:bottom w:val="single" w:sz="4" w:space="0" w:color="auto"/>
              <w:right w:val="single" w:sz="4" w:space="0" w:color="auto"/>
            </w:tcBorders>
            <w:vAlign w:val="bottom"/>
          </w:tcPr>
          <w:p>
            <w:pPr>
              <w:pStyle w:val="TAL"/>
            </w:pPr>
            <w:r>
              <w:t>E-UTRA Band 22, 42, 43</w:t>
            </w:r>
          </w:p>
        </w:tc>
        <w:tc>
          <w:tcPr>
            <w:tcW w:w="851"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77, 78</w:t>
            </w:r>
          </w:p>
        </w:tc>
        <w:tc>
          <w:tcPr>
            <w:tcW w:w="851" w:type="dxa"/>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DC_20_n3</w:t>
            </w:r>
          </w:p>
        </w:tc>
        <w:tc>
          <w:tcPr>
            <w:tcW w:w="2833" w:type="dxa"/>
            <w:tcBorders>
              <w:top w:val="single" w:sz="4" w:space="0" w:color="auto"/>
              <w:left w:val="nil"/>
              <w:bottom w:val="single" w:sz="4" w:space="0" w:color="auto"/>
              <w:right w:val="single" w:sz="4" w:space="0" w:color="auto"/>
            </w:tcBorders>
            <w:vAlign w:val="center"/>
          </w:tcPr>
          <w:p>
            <w:pPr>
              <w:pStyle w:val="TAL"/>
            </w:pPr>
            <w:r>
              <w:rPr>
                <w:sz w:val="16"/>
                <w:szCs w:val="16"/>
              </w:rPr>
              <w:t>E-UTRA Band 7, 8</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center"/>
          </w:tcPr>
          <w:p>
            <w:pPr>
              <w:pStyle w:val="TAL"/>
            </w:pPr>
            <w:r>
              <w:rPr>
                <w:sz w:val="16"/>
                <w:szCs w:val="16"/>
              </w:rPr>
              <w:t>E-UTRA Band 38, 42,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DC_28_n3</w:t>
            </w:r>
          </w:p>
        </w:tc>
        <w:tc>
          <w:tcPr>
            <w:tcW w:w="2833" w:type="dxa"/>
            <w:tcBorders>
              <w:top w:val="single" w:sz="4" w:space="0" w:color="auto"/>
              <w:left w:val="nil"/>
              <w:bottom w:val="single" w:sz="4" w:space="0" w:color="auto"/>
              <w:right w:val="single" w:sz="4" w:space="0" w:color="auto"/>
            </w:tcBorders>
            <w:vAlign w:val="bottom"/>
          </w:tcPr>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pPr>
            <w:r>
              <w:t>E-UTRA Band 7, 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top w:val="single" w:sz="4" w:space="0" w:color="auto"/>
              <w:left w:val="single" w:sz="4" w:space="0" w:color="auto"/>
              <w:right w:val="single" w:sz="4" w:space="0" w:color="auto"/>
            </w:tcBorders>
          </w:tcPr>
          <w:p>
            <w:pPr>
              <w:pStyle w:val="TAH"/>
              <w:rPr>
                <w:rFonts w:eastAsia="Calibri Light"/>
              </w:rPr>
            </w:pPr>
            <w:r>
              <w:rPr>
                <w:rFonts w:eastAsia="Calibri Light"/>
              </w:rPr>
              <w:t>DC_30_n5</w:t>
            </w:r>
          </w:p>
        </w:tc>
        <w:tc>
          <w:tcPr>
            <w:tcW w:w="2833" w:type="dxa"/>
            <w:tcBorders>
              <w:top w:val="single" w:sz="4" w:space="0" w:color="auto"/>
              <w:left w:val="nil"/>
              <w:bottom w:val="single" w:sz="4" w:space="0" w:color="auto"/>
              <w:right w:val="single" w:sz="4" w:space="0" w:color="auto"/>
            </w:tcBorders>
            <w:vAlign w:val="center"/>
          </w:tcPr>
          <w:p>
            <w:pPr>
              <w:pStyle w:val="TAL"/>
            </w:pPr>
            <w:r>
              <w:rPr>
                <w:color w:val="000000"/>
                <w:szCs w:val="18"/>
              </w:rPr>
              <w:t>E-UTRA Band 71</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left w:val="single" w:sz="4" w:space="0" w:color="auto"/>
              <w:bottom w:val="single" w:sz="4" w:space="0" w:color="auto"/>
              <w:right w:val="single" w:sz="4" w:space="0" w:color="auto"/>
            </w:tcBorders>
          </w:tcPr>
          <w:p>
            <w:pPr>
              <w:pStyle w:val="TAH"/>
              <w:rPr>
                <w:rFonts w:eastAsia="Calibri Light"/>
              </w:rPr>
            </w:pPr>
          </w:p>
        </w:tc>
        <w:tc>
          <w:tcPr>
            <w:tcW w:w="2833" w:type="dxa"/>
            <w:tcBorders>
              <w:top w:val="single" w:sz="4" w:space="0" w:color="auto"/>
              <w:left w:val="nil"/>
              <w:bottom w:val="single" w:sz="4" w:space="0" w:color="auto"/>
              <w:right w:val="single" w:sz="4" w:space="0" w:color="auto"/>
            </w:tcBorders>
            <w:vAlign w:val="bottom"/>
          </w:tcPr>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rPr>
                <w:rFonts w:eastAsia="Malgun Gothic"/>
              </w:rPr>
            </w:pPr>
            <w:r>
              <w:t>DC_40_n1</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lang w:eastAsia="ja-JP"/>
              </w:rPr>
              <w:t>E-UTRA Band 7, 31, 32, 41, 45, 50, 72, 73, 74, 75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lang w:eastAsia="ja-JP"/>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lang w:eastAsia="ja-JP"/>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t> </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Malgun Gothic"/>
              </w:rPr>
            </w:pPr>
            <w:r>
              <w:rPr>
                <w:lang w:eastAsia="ja-JP"/>
              </w:rPr>
              <w:t>DC</w:t>
            </w:r>
            <w:r>
              <w:t>_</w:t>
            </w:r>
            <w:r>
              <w:rPr>
                <w:lang w:eastAsia="zh-TW"/>
              </w:rPr>
              <w:t>40_n78</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t>E-UTRA Band 5, 8, 20, 26, 27, 28, 32, 44, 45, 50, 51, 74, 75, 76</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Yu Mincho"/>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t>NR Band n79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Yu Mincho"/>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trHeight w:val="188"/>
          <w:jc w:val="center"/>
        </w:trPr>
        <w:tc>
          <w:tcPr>
            <w:tcW w:w="1694" w:type="dxa"/>
            <w:vMerge w:val="restart"/>
            <w:tcBorders>
              <w:left w:val="single" w:sz="4" w:space="0" w:color="auto"/>
              <w:right w:val="single" w:sz="4" w:space="0" w:color="auto"/>
            </w:tcBorders>
          </w:tcPr>
          <w:p>
            <w:pPr>
              <w:pStyle w:val="TAH"/>
              <w:rPr>
                <w:rFonts w:eastAsia="Malgun Gothic"/>
              </w:rPr>
            </w:pPr>
            <w:r>
              <w:rPr>
                <w:lang w:eastAsia="ja-JP"/>
              </w:rPr>
              <w:t>DC</w:t>
            </w:r>
            <w:r>
              <w:t>_</w:t>
            </w:r>
            <w:r>
              <w:rPr>
                <w:lang w:eastAsia="zh-TW"/>
              </w:rPr>
              <w:t>48_n5</w:t>
            </w:r>
          </w:p>
        </w:tc>
        <w:tc>
          <w:tcPr>
            <w:tcW w:w="2833" w:type="dxa"/>
            <w:tcBorders>
              <w:top w:val="single" w:sz="4" w:space="0" w:color="auto"/>
              <w:left w:val="nil"/>
              <w:bottom w:val="single" w:sz="4" w:space="0" w:color="auto"/>
              <w:right w:val="single" w:sz="4" w:space="0" w:color="auto"/>
            </w:tcBorders>
            <w:vAlign w:val="bottom"/>
          </w:tcPr>
          <w:p>
            <w:pPr>
              <w:pStyle w:val="TAL"/>
            </w:pPr>
            <w:r>
              <w:t>E-UTRA Band 25, 70</w:t>
            </w:r>
          </w:p>
        </w:tc>
        <w:tc>
          <w:tcPr>
            <w:tcW w:w="851"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283" w:type="dxa"/>
            <w:tcBorders>
              <w:top w:val="single" w:sz="4" w:space="0" w:color="auto"/>
              <w:left w:val="nil"/>
              <w:bottom w:val="single" w:sz="4" w:space="0" w:color="auto"/>
              <w:right w:val="single" w:sz="4" w:space="0" w:color="auto"/>
            </w:tcBorders>
            <w:vAlign w:val="center"/>
          </w:tcPr>
          <w:p>
            <w:pPr>
              <w:pStyle w:val="TAC"/>
            </w:pPr>
            <w:r>
              <w:t>-</w:t>
            </w:r>
          </w:p>
        </w:tc>
        <w:tc>
          <w:tcPr>
            <w:tcW w:w="11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pPr>
            <w:r>
              <w:t>Frequency range</w:t>
            </w:r>
          </w:p>
        </w:tc>
        <w:tc>
          <w:tcPr>
            <w:tcW w:w="851" w:type="dxa"/>
            <w:tcBorders>
              <w:top w:val="single" w:sz="4" w:space="0" w:color="auto"/>
              <w:left w:val="nil"/>
              <w:bottom w:val="single" w:sz="4" w:space="0" w:color="auto"/>
              <w:right w:val="single" w:sz="4" w:space="0" w:color="auto"/>
            </w:tcBorders>
            <w:vAlign w:val="center"/>
          </w:tcPr>
          <w:p>
            <w:pPr>
              <w:pStyle w:val="TAC"/>
            </w:pPr>
            <w:r>
              <w:t>1884.5</w:t>
            </w:r>
          </w:p>
        </w:tc>
        <w:tc>
          <w:tcPr>
            <w:tcW w:w="283" w:type="dxa"/>
            <w:tcBorders>
              <w:top w:val="single" w:sz="4" w:space="0" w:color="auto"/>
              <w:left w:val="nil"/>
              <w:bottom w:val="single" w:sz="4" w:space="0" w:color="auto"/>
              <w:right w:val="single" w:sz="4" w:space="0" w:color="auto"/>
            </w:tcBorders>
            <w:vAlign w:val="center"/>
          </w:tcPr>
          <w:p>
            <w:pPr>
              <w:pStyle w:val="TAC"/>
            </w:pPr>
            <w:r>
              <w:t>-</w:t>
            </w:r>
          </w:p>
        </w:tc>
        <w:tc>
          <w:tcPr>
            <w:tcW w:w="1134" w:type="dxa"/>
            <w:tcBorders>
              <w:top w:val="single" w:sz="4" w:space="0" w:color="auto"/>
              <w:left w:val="nil"/>
              <w:bottom w:val="single" w:sz="4" w:space="0" w:color="auto"/>
              <w:right w:val="single" w:sz="4" w:space="0" w:color="auto"/>
            </w:tcBorders>
            <w:vAlign w:val="center"/>
          </w:tcPr>
          <w:p>
            <w:pPr>
              <w:pStyle w:val="TAC"/>
            </w:pPr>
            <w:r>
              <w:t>1915.7</w:t>
            </w:r>
          </w:p>
        </w:tc>
        <w:tc>
          <w:tcPr>
            <w:tcW w:w="1138" w:type="dxa"/>
            <w:tcBorders>
              <w:top w:val="single" w:sz="4" w:space="0" w:color="auto"/>
              <w:left w:val="nil"/>
              <w:bottom w:val="single" w:sz="4" w:space="0" w:color="auto"/>
              <w:right w:val="single" w:sz="4" w:space="0" w:color="auto"/>
            </w:tcBorders>
            <w:vAlign w:val="center"/>
          </w:tcPr>
          <w:p>
            <w:pPr>
              <w:pStyle w:val="TAC"/>
            </w:pPr>
            <w:r>
              <w:t>-41</w:t>
            </w:r>
          </w:p>
        </w:tc>
        <w:tc>
          <w:tcPr>
            <w:tcW w:w="709" w:type="dxa"/>
            <w:tcBorders>
              <w:top w:val="single" w:sz="4" w:space="0" w:color="auto"/>
              <w:left w:val="nil"/>
              <w:bottom w:val="single" w:sz="4" w:space="0" w:color="auto"/>
              <w:right w:val="single" w:sz="4" w:space="0" w:color="auto"/>
            </w:tcBorders>
            <w:noWrap/>
            <w:vAlign w:val="center"/>
          </w:tcPr>
          <w:p>
            <w:pPr>
              <w:pStyle w:val="TAC"/>
            </w:pPr>
            <w:r>
              <w:t>0.3</w:t>
            </w:r>
          </w:p>
        </w:tc>
        <w:tc>
          <w:tcPr>
            <w:tcW w:w="1134" w:type="dxa"/>
            <w:tcBorders>
              <w:top w:val="single" w:sz="4" w:space="0" w:color="auto"/>
              <w:left w:val="nil"/>
              <w:bottom w:val="single" w:sz="4" w:space="0" w:color="auto"/>
              <w:right w:val="single" w:sz="4" w:space="0" w:color="auto"/>
            </w:tcBorders>
            <w:noWrap/>
            <w:vAlign w:val="center"/>
          </w:tcPr>
          <w:p>
            <w:pPr>
              <w:pStyle w:val="TAC"/>
            </w:pPr>
            <w:r>
              <w:t>3</w:t>
            </w:r>
          </w:p>
        </w:tc>
      </w:tr>
      <w:tr>
        <w:tblPrEx>
          <w:tblW w:w="9776" w:type="dxa"/>
          <w:jc w:val="center"/>
          <w:tblLayout w:type="fixed"/>
          <w:tblPrExChange w:id="92" w:author="Kevin Wang (QMC)" w:date="2021-04-26T22:27:00Z">
            <w:tblPrEx>
              <w:tblW w:w="9776" w:type="dxa"/>
              <w:jc w:val="center"/>
              <w:tblLayout w:type="fixed"/>
            </w:tblPrEx>
          </w:tblPrExChange>
        </w:tblPrEx>
        <w:trPr>
          <w:trHeight w:val="188"/>
          <w:jc w:val="center"/>
          <w:trPrChange w:id="93" w:author="Kevin Wang (QMC)" w:date="2021-04-26T22:27:00Z">
            <w:trPr>
              <w:gridAfter w:val="0"/>
              <w:trHeight w:val="188"/>
              <w:jc w:val="center"/>
            </w:trPr>
          </w:trPrChange>
        </w:trPr>
        <w:tc>
          <w:tcPr>
            <w:tcW w:w="1694" w:type="dxa"/>
            <w:tcBorders>
              <w:left w:val="single" w:sz="4" w:space="0" w:color="auto"/>
              <w:bottom w:val="single" w:sz="4" w:space="0" w:color="auto"/>
              <w:right w:val="single" w:sz="4" w:space="0" w:color="auto"/>
            </w:tcBorders>
            <w:tcPrChange w:id="94" w:author="Kevin Wang (QMC)" w:date="2021-04-26T22:27:00Z">
              <w:tcPr>
                <w:tcW w:w="1694" w:type="dxa"/>
                <w:gridSpan w:val="2"/>
                <w:tcBorders>
                  <w:left w:val="single" w:sz="4" w:space="0" w:color="auto"/>
                  <w:bottom w:val="single" w:sz="4" w:space="0" w:color="auto"/>
                  <w:right w:val="single" w:sz="4" w:space="0" w:color="auto"/>
                </w:tcBorders>
              </w:tcPr>
            </w:tcPrChange>
          </w:tcPr>
          <w:p>
            <w:pPr>
              <w:pStyle w:val="TAH"/>
              <w:rPr>
                <w:rFonts w:eastAsia="Malgun Gothic"/>
              </w:rPr>
            </w:pPr>
            <w:r>
              <w:rPr>
                <w:lang w:eastAsia="ja-JP"/>
              </w:rPr>
              <w:t>DC</w:t>
            </w:r>
            <w:r>
              <w:t>_</w:t>
            </w:r>
            <w:r>
              <w:rPr>
                <w:lang w:eastAsia="zh-TW"/>
              </w:rPr>
              <w:t>48_n66</w:t>
            </w:r>
          </w:p>
        </w:tc>
        <w:tc>
          <w:tcPr>
            <w:tcW w:w="2833" w:type="dxa"/>
            <w:tcBorders>
              <w:top w:val="single" w:sz="4" w:space="0" w:color="auto"/>
              <w:left w:val="nil"/>
              <w:bottom w:val="single" w:sz="4" w:space="0" w:color="auto"/>
              <w:right w:val="single" w:sz="4" w:space="0" w:color="auto"/>
            </w:tcBorders>
            <w:vAlign w:val="bottom"/>
            <w:tcPrChange w:id="95" w:author="Kevin Wang (QMC)" w:date="2021-04-26T22:27:00Z">
              <w:tcPr>
                <w:tcW w:w="2833" w:type="dxa"/>
                <w:gridSpan w:val="2"/>
                <w:tcBorders>
                  <w:top w:val="single" w:sz="4" w:space="0" w:color="auto"/>
                  <w:left w:val="nil"/>
                  <w:bottom w:val="single" w:sz="4" w:space="0" w:color="auto"/>
                  <w:right w:val="single" w:sz="4" w:space="0" w:color="auto"/>
                </w:tcBorders>
                <w:vAlign w:val="bottom"/>
              </w:tcPr>
            </w:tcPrChange>
          </w:tcPr>
          <w:p>
            <w:pPr>
              <w:pStyle w:val="TAL"/>
            </w:pPr>
            <w:r>
              <w:t>E-UTRA Band 2, 25</w:t>
            </w:r>
          </w:p>
        </w:tc>
        <w:tc>
          <w:tcPr>
            <w:tcW w:w="851" w:type="dxa"/>
            <w:tcBorders>
              <w:top w:val="single" w:sz="4" w:space="0" w:color="auto"/>
              <w:left w:val="nil"/>
              <w:bottom w:val="single" w:sz="4" w:space="0" w:color="auto"/>
              <w:right w:val="single" w:sz="4" w:space="0" w:color="auto"/>
            </w:tcBorders>
            <w:vAlign w:val="center"/>
            <w:tcPrChange w:id="96" w:author="Kevin Wang (QMC)" w:date="2021-04-26T22:27:00Z">
              <w:tcPr>
                <w:tcW w:w="851"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283" w:type="dxa"/>
            <w:tcBorders>
              <w:top w:val="single" w:sz="4" w:space="0" w:color="auto"/>
              <w:left w:val="nil"/>
              <w:bottom w:val="single" w:sz="4" w:space="0" w:color="auto"/>
              <w:right w:val="single" w:sz="4" w:space="0" w:color="auto"/>
            </w:tcBorders>
            <w:vAlign w:val="center"/>
            <w:tcPrChange w:id="97" w:author="Kevin Wang (QMC)" w:date="2021-04-26T22:27:00Z">
              <w:tcPr>
                <w:tcW w:w="283"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1134" w:type="dxa"/>
            <w:tcBorders>
              <w:top w:val="single" w:sz="4" w:space="0" w:color="auto"/>
              <w:left w:val="nil"/>
              <w:bottom w:val="single" w:sz="4" w:space="0" w:color="auto"/>
              <w:right w:val="single" w:sz="4" w:space="0" w:color="auto"/>
            </w:tcBorders>
            <w:vAlign w:val="center"/>
            <w:tcPrChange w:id="98" w:author="Kevin Wang (QMC)" w:date="2021-04-26T22:27:00Z">
              <w:tcPr>
                <w:tcW w:w="11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38" w:type="dxa"/>
            <w:tcBorders>
              <w:top w:val="single" w:sz="4" w:space="0" w:color="auto"/>
              <w:left w:val="nil"/>
              <w:bottom w:val="single" w:sz="4" w:space="0" w:color="auto"/>
              <w:right w:val="single" w:sz="4" w:space="0" w:color="auto"/>
            </w:tcBorders>
            <w:vAlign w:val="center"/>
            <w:tcPrChange w:id="99" w:author="Kevin Wang (QMC)" w:date="2021-04-26T22:27:00Z">
              <w:tcPr>
                <w:tcW w:w="1138"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709" w:type="dxa"/>
            <w:tcBorders>
              <w:top w:val="single" w:sz="4" w:space="0" w:color="auto"/>
              <w:left w:val="nil"/>
              <w:bottom w:val="single" w:sz="4" w:space="0" w:color="auto"/>
              <w:right w:val="single" w:sz="4" w:space="0" w:color="auto"/>
            </w:tcBorders>
            <w:noWrap/>
            <w:vAlign w:val="center"/>
            <w:tcPrChange w:id="100" w:author="Kevin Wang (QMC)" w:date="2021-04-26T22:27:00Z">
              <w:tcPr>
                <w:tcW w:w="70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1134" w:type="dxa"/>
            <w:tcBorders>
              <w:top w:val="single" w:sz="4" w:space="0" w:color="auto"/>
              <w:left w:val="nil"/>
              <w:bottom w:val="single" w:sz="4" w:space="0" w:color="auto"/>
              <w:right w:val="single" w:sz="4" w:space="0" w:color="auto"/>
            </w:tcBorders>
            <w:noWrap/>
            <w:vAlign w:val="center"/>
            <w:tcPrChange w:id="101" w:author="Kevin Wang (QMC)" w:date="2021-04-26T22:27:00Z">
              <w:tcPr>
                <w:tcW w:w="1134" w:type="dxa"/>
                <w:gridSpan w:val="2"/>
                <w:tcBorders>
                  <w:top w:val="single" w:sz="4" w:space="0" w:color="auto"/>
                  <w:left w:val="nil"/>
                  <w:bottom w:val="single" w:sz="4" w:space="0" w:color="auto"/>
                  <w:right w:val="single" w:sz="4" w:space="0" w:color="auto"/>
                </w:tcBorders>
                <w:noWrap/>
                <w:vAlign w:val="center"/>
              </w:tcPr>
            </w:tcPrChange>
          </w:tcPr>
          <w:p>
            <w:pPr>
              <w:pStyle w:val="TAC"/>
            </w:pPr>
          </w:p>
        </w:tc>
      </w:tr>
      <w:tr>
        <w:trPr>
          <w:trHeight w:val="188"/>
          <w:jc w:val="center"/>
          <w:ins w:id="102" w:author="Kevin Wang (QMC)" w:date="2021-04-26T22:26:00Z"/>
        </w:trPr>
        <w:tc>
          <w:tcPr>
            <w:tcW w:w="1694" w:type="dxa"/>
            <w:vMerge w:val="restart"/>
            <w:tcBorders>
              <w:top w:val="single" w:sz="4" w:space="0" w:color="auto"/>
              <w:left w:val="single" w:sz="4" w:space="0" w:color="auto"/>
              <w:right w:val="single" w:sz="4" w:space="0" w:color="auto"/>
            </w:tcBorders>
          </w:tcPr>
          <w:p>
            <w:pPr>
              <w:pStyle w:val="TAH"/>
              <w:rPr>
                <w:ins w:id="103" w:author="Kevin Wang (QMC)" w:date="2021-04-26T22:26:00Z"/>
                <w:lang w:eastAsia="ja-JP"/>
              </w:rPr>
            </w:pPr>
            <w:ins w:id="104" w:author="Kevin Wang (QMC)" w:date="2021-04-26T22:27:00Z">
              <w:r>
                <w:rPr>
                  <w:rFonts w:eastAsia="Malgun Gothic"/>
                </w:rPr>
                <w:t>DC_</w:t>
              </w:r>
              <w:r>
                <w:rPr>
                  <w:lang w:eastAsia="zh-TW"/>
                </w:rPr>
                <w:t>66</w:t>
              </w:r>
              <w:r>
                <w:rPr>
                  <w:rFonts w:eastAsia="Malgun Gothic"/>
                </w:rPr>
                <w:t>_n</w:t>
              </w:r>
              <w:r>
                <w:rPr>
                  <w:lang w:eastAsia="zh-TW"/>
                </w:rPr>
                <w:t>2</w:t>
              </w:r>
            </w:ins>
          </w:p>
        </w:tc>
        <w:tc>
          <w:tcPr>
            <w:tcW w:w="2833" w:type="dxa"/>
            <w:tcBorders>
              <w:top w:val="single" w:sz="4" w:space="0" w:color="auto"/>
              <w:left w:val="nil"/>
              <w:bottom w:val="single" w:sz="4" w:space="0" w:color="auto"/>
              <w:right w:val="single" w:sz="4" w:space="0" w:color="auto"/>
            </w:tcBorders>
            <w:vAlign w:val="bottom"/>
          </w:tcPr>
          <w:p>
            <w:pPr>
              <w:pStyle w:val="TAL"/>
              <w:rPr>
                <w:ins w:id="105" w:author="Kevin Wang (QMC)" w:date="2021-04-26T22:26:00Z"/>
                <w:rFonts w:cs="Arial"/>
                <w:color w:val="000000"/>
                <w:szCs w:val="18"/>
              </w:rPr>
            </w:pPr>
            <w:ins w:id="106" w:author="Kevin Wang (QMC)" w:date="2021-04-26T22:27:00Z">
              <w:r>
                <w:rPr>
                  <w:rFonts w:eastAsia="Malgun Gothic"/>
                </w:rPr>
                <w:t xml:space="preserve">E-UTRA Band </w:t>
              </w:r>
            </w:ins>
            <w:ins w:id="107" w:author="Kevin Wang (QMC)" w:date="2021-05-13T21:43:00Z">
              <w:r>
                <w:rPr>
                  <w:rFonts w:eastAsia="SimSun"/>
                  <w:color w:val="000000"/>
                </w:rPr>
                <w:t>4, 10, 22, 24, 50, 66, 70, 74</w:t>
              </w:r>
            </w:ins>
          </w:p>
        </w:tc>
        <w:tc>
          <w:tcPr>
            <w:tcW w:w="851" w:type="dxa"/>
            <w:tcBorders>
              <w:top w:val="single" w:sz="4" w:space="0" w:color="auto"/>
              <w:left w:val="nil"/>
              <w:bottom w:val="single" w:sz="4" w:space="0" w:color="auto"/>
              <w:right w:val="single" w:sz="4" w:space="0" w:color="auto"/>
            </w:tcBorders>
            <w:vAlign w:val="center"/>
          </w:tcPr>
          <w:p>
            <w:pPr>
              <w:pStyle w:val="TAC"/>
              <w:rPr>
                <w:ins w:id="108" w:author="Kevin Wang (QMC)" w:date="2021-04-26T22:26:00Z"/>
                <w:rFonts w:cs="Arial"/>
                <w:color w:val="000000"/>
                <w:szCs w:val="18"/>
              </w:rPr>
            </w:pPr>
            <w:ins w:id="109" w:author="Kevin Wang (QMC)" w:date="2021-04-26T22:27:00Z">
              <w:r>
                <w:rPr>
                  <w:rFonts w:eastAsia="Malgun Gothic"/>
                </w:rPr>
                <w:t>F</w:t>
              </w:r>
              <w:r>
                <w:rPr>
                  <w:rFonts w:eastAsia="Malgun Gothic"/>
                  <w:vertAlign w:val="subscript"/>
                </w:rPr>
                <w:t>DL_low</w:t>
              </w:r>
            </w:ins>
          </w:p>
        </w:tc>
        <w:tc>
          <w:tcPr>
            <w:tcW w:w="283" w:type="dxa"/>
            <w:tcBorders>
              <w:top w:val="single" w:sz="4" w:space="0" w:color="auto"/>
              <w:left w:val="nil"/>
              <w:bottom w:val="single" w:sz="4" w:space="0" w:color="auto"/>
              <w:right w:val="single" w:sz="4" w:space="0" w:color="auto"/>
            </w:tcBorders>
            <w:vAlign w:val="center"/>
          </w:tcPr>
          <w:p>
            <w:pPr>
              <w:pStyle w:val="TAC"/>
              <w:rPr>
                <w:ins w:id="110" w:author="Kevin Wang (QMC)" w:date="2021-04-26T22:26:00Z"/>
                <w:rFonts w:cs="Arial"/>
                <w:color w:val="000000"/>
                <w:szCs w:val="18"/>
              </w:rPr>
            </w:pPr>
            <w:ins w:id="111" w:author="Kevin Wang (QMC)" w:date="2021-04-26T22:27:00Z">
              <w:r>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pPr>
              <w:pStyle w:val="TAC"/>
              <w:rPr>
                <w:ins w:id="112" w:author="Kevin Wang (QMC)" w:date="2021-04-26T22:26:00Z"/>
                <w:rFonts w:cs="Arial"/>
                <w:color w:val="000000"/>
                <w:szCs w:val="18"/>
              </w:rPr>
            </w:pPr>
            <w:ins w:id="113" w:author="Kevin Wang (QMC)" w:date="2021-04-26T22:27:00Z">
              <w:r>
                <w:rPr>
                  <w:rFonts w:eastAsia="Malgun Gothic"/>
                </w:rPr>
                <w:t>F</w:t>
              </w:r>
              <w:r>
                <w:rPr>
                  <w:rFonts w:eastAsia="Malgun Gothic"/>
                  <w:vertAlign w:val="subscript"/>
                </w:rPr>
                <w:t>DL_high</w:t>
              </w:r>
            </w:ins>
          </w:p>
        </w:tc>
        <w:tc>
          <w:tcPr>
            <w:tcW w:w="1138" w:type="dxa"/>
            <w:tcBorders>
              <w:top w:val="single" w:sz="4" w:space="0" w:color="auto"/>
              <w:left w:val="nil"/>
              <w:bottom w:val="single" w:sz="4" w:space="0" w:color="auto"/>
              <w:right w:val="single" w:sz="4" w:space="0" w:color="auto"/>
            </w:tcBorders>
            <w:vAlign w:val="center"/>
          </w:tcPr>
          <w:p>
            <w:pPr>
              <w:pStyle w:val="TAC"/>
              <w:rPr>
                <w:ins w:id="114" w:author="Kevin Wang (QMC)" w:date="2021-04-26T22:26:00Z"/>
                <w:rFonts w:cs="Arial"/>
                <w:color w:val="000000"/>
                <w:szCs w:val="18"/>
              </w:rPr>
            </w:pPr>
            <w:ins w:id="115" w:author="Kevin Wang (QMC)" w:date="2021-04-26T22:27:00Z">
              <w:r>
                <w:rPr>
                  <w:rFonts w:eastAsia="Malgun Gothic"/>
                </w:rPr>
                <w:t>-50</w:t>
              </w:r>
            </w:ins>
          </w:p>
        </w:tc>
        <w:tc>
          <w:tcPr>
            <w:tcW w:w="709" w:type="dxa"/>
            <w:tcBorders>
              <w:top w:val="single" w:sz="4" w:space="0" w:color="auto"/>
              <w:left w:val="nil"/>
              <w:bottom w:val="single" w:sz="4" w:space="0" w:color="auto"/>
              <w:right w:val="single" w:sz="4" w:space="0" w:color="auto"/>
            </w:tcBorders>
            <w:noWrap/>
            <w:vAlign w:val="center"/>
          </w:tcPr>
          <w:p>
            <w:pPr>
              <w:pStyle w:val="TAC"/>
              <w:rPr>
                <w:ins w:id="116" w:author="Kevin Wang (QMC)" w:date="2021-04-26T22:26:00Z"/>
                <w:rFonts w:cs="Arial"/>
                <w:color w:val="000000"/>
                <w:szCs w:val="18"/>
              </w:rPr>
            </w:pPr>
            <w:ins w:id="117" w:author="Kevin Wang (QMC)" w:date="2021-04-26T22:27:00Z">
              <w:r>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pPr>
              <w:pStyle w:val="TAC"/>
              <w:rPr>
                <w:ins w:id="118" w:author="Kevin Wang (QMC)" w:date="2021-04-26T22:26:00Z"/>
                <w:rFonts w:cs="Arial"/>
                <w:color w:val="000000"/>
                <w:szCs w:val="18"/>
              </w:rPr>
            </w:pPr>
          </w:p>
        </w:tc>
      </w:tr>
      <w:tr>
        <w:trPr>
          <w:trHeight w:val="188"/>
          <w:jc w:val="center"/>
          <w:ins w:id="119" w:author="Kevin Wang (QMC)" w:date="2021-04-26T22:26:00Z"/>
        </w:trPr>
        <w:tc>
          <w:tcPr>
            <w:tcW w:w="1694" w:type="dxa"/>
            <w:vMerge/>
            <w:tcBorders>
              <w:left w:val="single" w:sz="4" w:space="0" w:color="auto"/>
              <w:right w:val="single" w:sz="4" w:space="0" w:color="auto"/>
            </w:tcBorders>
            <w:vAlign w:val="center"/>
          </w:tcPr>
          <w:p>
            <w:pPr>
              <w:pStyle w:val="TAH"/>
              <w:rPr>
                <w:ins w:id="120" w:author="Kevin Wang (QMC)" w:date="2021-04-26T22:26:00Z"/>
                <w:lang w:eastAsia="ja-JP"/>
              </w:rPr>
            </w:pPr>
          </w:p>
        </w:tc>
        <w:tc>
          <w:tcPr>
            <w:tcW w:w="2833" w:type="dxa"/>
            <w:tcBorders>
              <w:top w:val="single" w:sz="4" w:space="0" w:color="auto"/>
              <w:left w:val="nil"/>
              <w:bottom w:val="single" w:sz="4" w:space="0" w:color="auto"/>
              <w:right w:val="single" w:sz="4" w:space="0" w:color="auto"/>
            </w:tcBorders>
          </w:tcPr>
          <w:p>
            <w:pPr>
              <w:pStyle w:val="TAL"/>
              <w:rPr>
                <w:ins w:id="121" w:author="Kevin Wang (QMC)" w:date="2021-04-26T22:26:00Z"/>
                <w:rFonts w:cs="Arial"/>
                <w:color w:val="000000"/>
                <w:szCs w:val="18"/>
              </w:rPr>
            </w:pPr>
            <w:ins w:id="122" w:author="Kevin Wang (QMC)" w:date="2021-04-26T22:27:00Z">
              <w:r>
                <w:rPr>
                  <w:rFonts w:eastAsia="Malgun Gothic"/>
                </w:rPr>
                <w:t xml:space="preserve">E-UTRA Band </w:t>
              </w:r>
            </w:ins>
            <w:ins w:id="123" w:author="Kevin Wang (QMC)" w:date="2021-05-13T21:44:00Z">
              <w:r>
                <w:rPr>
                  <w:lang w:eastAsia="zh-TW"/>
                </w:rPr>
                <w:t>2</w:t>
              </w:r>
            </w:ins>
            <w:ins w:id="124" w:author="Kevin Wang (QMC)" w:date="2021-04-26T22:27:00Z">
              <w:r>
                <w:rPr>
                  <w:lang w:eastAsia="zh-TW"/>
                </w:rPr>
                <w:t xml:space="preserve">, </w:t>
              </w:r>
            </w:ins>
            <w:ins w:id="125" w:author="Kevin Wang (QMC)" w:date="2021-05-13T21:44:00Z">
              <w:r>
                <w:rPr>
                  <w:lang w:eastAsia="zh-TW"/>
                </w:rPr>
                <w:t>25</w:t>
              </w:r>
            </w:ins>
          </w:p>
        </w:tc>
        <w:tc>
          <w:tcPr>
            <w:tcW w:w="851" w:type="dxa"/>
            <w:tcBorders>
              <w:top w:val="single" w:sz="4" w:space="0" w:color="auto"/>
              <w:left w:val="nil"/>
              <w:bottom w:val="single" w:sz="4" w:space="0" w:color="auto"/>
              <w:right w:val="single" w:sz="4" w:space="0" w:color="auto"/>
            </w:tcBorders>
            <w:vAlign w:val="center"/>
          </w:tcPr>
          <w:p>
            <w:pPr>
              <w:pStyle w:val="TAC"/>
              <w:rPr>
                <w:ins w:id="126" w:author="Kevin Wang (QMC)" w:date="2021-04-26T22:26:00Z"/>
                <w:rFonts w:cs="Arial"/>
                <w:color w:val="000000"/>
                <w:szCs w:val="18"/>
              </w:rPr>
            </w:pPr>
            <w:ins w:id="127" w:author="Kevin Wang (QMC)" w:date="2021-04-26T22:27:00Z">
              <w:r>
                <w:rPr>
                  <w:rFonts w:eastAsia="Malgun Gothic"/>
                </w:rPr>
                <w:t>F</w:t>
              </w:r>
              <w:r>
                <w:rPr>
                  <w:rFonts w:eastAsia="Malgun Gothic"/>
                  <w:vertAlign w:val="subscript"/>
                </w:rPr>
                <w:t>DL_low</w:t>
              </w:r>
            </w:ins>
          </w:p>
        </w:tc>
        <w:tc>
          <w:tcPr>
            <w:tcW w:w="283" w:type="dxa"/>
            <w:tcBorders>
              <w:top w:val="single" w:sz="4" w:space="0" w:color="auto"/>
              <w:left w:val="nil"/>
              <w:bottom w:val="single" w:sz="4" w:space="0" w:color="auto"/>
              <w:right w:val="single" w:sz="4" w:space="0" w:color="auto"/>
            </w:tcBorders>
            <w:vAlign w:val="center"/>
          </w:tcPr>
          <w:p>
            <w:pPr>
              <w:pStyle w:val="TAC"/>
              <w:rPr>
                <w:ins w:id="128" w:author="Kevin Wang (QMC)" w:date="2021-04-26T22:26:00Z"/>
                <w:rFonts w:cs="Arial"/>
                <w:color w:val="000000"/>
                <w:szCs w:val="18"/>
              </w:rPr>
            </w:pPr>
            <w:ins w:id="129" w:author="Kevin Wang (QMC)" w:date="2021-04-26T22:27:00Z">
              <w:r>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pPr>
              <w:pStyle w:val="TAC"/>
              <w:rPr>
                <w:ins w:id="130" w:author="Kevin Wang (QMC)" w:date="2021-04-26T22:26:00Z"/>
                <w:rFonts w:cs="Arial"/>
                <w:color w:val="000000"/>
                <w:szCs w:val="18"/>
              </w:rPr>
            </w:pPr>
            <w:ins w:id="131" w:author="Kevin Wang (QMC)" w:date="2021-04-26T22:27:00Z">
              <w:r>
                <w:rPr>
                  <w:rFonts w:eastAsia="Malgun Gothic"/>
                </w:rPr>
                <w:t>F</w:t>
              </w:r>
              <w:r>
                <w:rPr>
                  <w:rFonts w:eastAsia="Malgun Gothic"/>
                  <w:vertAlign w:val="subscript"/>
                </w:rPr>
                <w:t>DL_high</w:t>
              </w:r>
            </w:ins>
          </w:p>
        </w:tc>
        <w:tc>
          <w:tcPr>
            <w:tcW w:w="1138" w:type="dxa"/>
            <w:tcBorders>
              <w:top w:val="single" w:sz="4" w:space="0" w:color="auto"/>
              <w:left w:val="nil"/>
              <w:bottom w:val="single" w:sz="4" w:space="0" w:color="auto"/>
              <w:right w:val="single" w:sz="4" w:space="0" w:color="auto"/>
            </w:tcBorders>
            <w:vAlign w:val="center"/>
          </w:tcPr>
          <w:p>
            <w:pPr>
              <w:pStyle w:val="TAC"/>
              <w:rPr>
                <w:ins w:id="132" w:author="Kevin Wang (QMC)" w:date="2021-04-26T22:26:00Z"/>
                <w:rFonts w:cs="Arial"/>
                <w:color w:val="000000"/>
                <w:szCs w:val="18"/>
              </w:rPr>
            </w:pPr>
            <w:ins w:id="133" w:author="Kevin Wang (QMC)" w:date="2021-04-26T22:27:00Z">
              <w:r>
                <w:rPr>
                  <w:rFonts w:eastAsia="Malgun Gothic"/>
                </w:rPr>
                <w:t>-50</w:t>
              </w:r>
            </w:ins>
          </w:p>
        </w:tc>
        <w:tc>
          <w:tcPr>
            <w:tcW w:w="709" w:type="dxa"/>
            <w:tcBorders>
              <w:top w:val="single" w:sz="4" w:space="0" w:color="auto"/>
              <w:left w:val="nil"/>
              <w:bottom w:val="single" w:sz="4" w:space="0" w:color="auto"/>
              <w:right w:val="single" w:sz="4" w:space="0" w:color="auto"/>
            </w:tcBorders>
            <w:noWrap/>
            <w:vAlign w:val="center"/>
          </w:tcPr>
          <w:p>
            <w:pPr>
              <w:pStyle w:val="TAC"/>
              <w:rPr>
                <w:ins w:id="134" w:author="Kevin Wang (QMC)" w:date="2021-04-26T22:26:00Z"/>
                <w:rFonts w:cs="Arial"/>
                <w:color w:val="000000"/>
                <w:szCs w:val="18"/>
              </w:rPr>
            </w:pPr>
            <w:ins w:id="135" w:author="Kevin Wang (QMC)" w:date="2021-04-26T22:27:00Z">
              <w:r>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pPr>
              <w:pStyle w:val="TAC"/>
              <w:rPr>
                <w:ins w:id="136" w:author="Kevin Wang (QMC)" w:date="2021-04-26T22:26:00Z"/>
                <w:rFonts w:cs="Arial"/>
                <w:color w:val="000000"/>
                <w:szCs w:val="18"/>
              </w:rPr>
            </w:pPr>
            <w:ins w:id="137" w:author="Kevin Wang (QMC)" w:date="2021-05-13T21:45:00Z">
              <w:r>
                <w:rPr>
                  <w:rFonts w:cs="Arial"/>
                  <w:color w:val="000000"/>
                  <w:szCs w:val="18"/>
                </w:rPr>
                <w:t>5</w:t>
              </w:r>
            </w:ins>
          </w:p>
        </w:tc>
      </w:tr>
      <w:tr>
        <w:trPr>
          <w:trHeight w:val="188"/>
          <w:jc w:val="center"/>
          <w:ins w:id="138" w:author="Kevin Wang (QMC)" w:date="2021-04-26T22:26:00Z"/>
        </w:trPr>
        <w:tc>
          <w:tcPr>
            <w:tcW w:w="1694" w:type="dxa"/>
            <w:vMerge/>
            <w:tcBorders>
              <w:left w:val="single" w:sz="4" w:space="0" w:color="auto"/>
              <w:right w:val="single" w:sz="4" w:space="0" w:color="auto"/>
            </w:tcBorders>
            <w:vAlign w:val="center"/>
          </w:tcPr>
          <w:p>
            <w:pPr>
              <w:pStyle w:val="TAH"/>
              <w:rPr>
                <w:ins w:id="139" w:author="Kevin Wang (QMC)" w:date="2021-04-26T22:26:00Z"/>
                <w:lang w:eastAsia="ja-JP"/>
              </w:rPr>
            </w:pPr>
          </w:p>
        </w:tc>
        <w:tc>
          <w:tcPr>
            <w:tcW w:w="2833" w:type="dxa"/>
            <w:tcBorders>
              <w:top w:val="single" w:sz="4" w:space="0" w:color="auto"/>
              <w:left w:val="nil"/>
              <w:bottom w:val="single" w:sz="4" w:space="0" w:color="auto"/>
              <w:right w:val="single" w:sz="4" w:space="0" w:color="auto"/>
            </w:tcBorders>
          </w:tcPr>
          <w:p>
            <w:pPr>
              <w:pStyle w:val="TAL"/>
              <w:rPr>
                <w:ins w:id="140" w:author="Kevin Wang (QMC)" w:date="2021-05-13T21:44:00Z"/>
                <w:lang w:eastAsia="zh-TW"/>
              </w:rPr>
            </w:pPr>
            <w:ins w:id="141" w:author="Kevin Wang (QMC)" w:date="2021-04-26T22:27:00Z">
              <w:r>
                <w:rPr>
                  <w:rFonts w:eastAsia="Malgun Gothic"/>
                </w:rPr>
                <w:t xml:space="preserve">E-UTRA Band </w:t>
              </w:r>
            </w:ins>
            <w:ins w:id="142" w:author="Kevin Wang (QMC)" w:date="2021-05-13T21:44:00Z">
              <w:r>
                <w:rPr>
                  <w:lang w:eastAsia="zh-TW"/>
                </w:rPr>
                <w:t>42</w:t>
              </w:r>
            </w:ins>
            <w:ins w:id="143" w:author="Kevin Wang (QMC)" w:date="2021-04-26T22:27:00Z">
              <w:r>
                <w:rPr>
                  <w:lang w:eastAsia="zh-TW"/>
                </w:rPr>
                <w:t xml:space="preserve">, </w:t>
              </w:r>
            </w:ins>
            <w:ins w:id="144" w:author="Kevin Wang (QMC)" w:date="2021-05-13T21:44:00Z">
              <w:r>
                <w:rPr>
                  <w:lang w:eastAsia="zh-TW"/>
                </w:rPr>
                <w:t>43</w:t>
              </w:r>
            </w:ins>
          </w:p>
          <w:p>
            <w:pPr>
              <w:pStyle w:val="TAL"/>
              <w:rPr>
                <w:ins w:id="145" w:author="Kevin Wang (QMC)" w:date="2021-04-26T22:26:00Z"/>
                <w:rFonts w:cs="Arial"/>
                <w:color w:val="000000"/>
                <w:szCs w:val="18"/>
              </w:rPr>
            </w:pPr>
            <w:ins w:id="146" w:author="Kevin Wang (QMC)" w:date="2021-05-13T21:44:00Z">
              <w:r>
                <w:rPr>
                  <w:rFonts w:eastAsia="SimSun"/>
                  <w:color w:val="000000"/>
                </w:rPr>
                <w:t>NR Band n77</w:t>
              </w:r>
            </w:ins>
          </w:p>
        </w:tc>
        <w:tc>
          <w:tcPr>
            <w:tcW w:w="851" w:type="dxa"/>
            <w:tcBorders>
              <w:top w:val="single" w:sz="4" w:space="0" w:color="auto"/>
              <w:left w:val="nil"/>
              <w:bottom w:val="single" w:sz="4" w:space="0" w:color="auto"/>
              <w:right w:val="single" w:sz="4" w:space="0" w:color="auto"/>
            </w:tcBorders>
            <w:vAlign w:val="center"/>
          </w:tcPr>
          <w:p>
            <w:pPr>
              <w:pStyle w:val="TAC"/>
              <w:rPr>
                <w:ins w:id="147" w:author="Kevin Wang (QMC)" w:date="2021-04-26T22:26:00Z"/>
                <w:rFonts w:cs="Arial"/>
                <w:color w:val="000000"/>
                <w:szCs w:val="18"/>
              </w:rPr>
            </w:pPr>
            <w:ins w:id="148" w:author="Kevin Wang (QMC)" w:date="2021-04-26T22:27:00Z">
              <w:r>
                <w:rPr>
                  <w:rFonts w:eastAsia="Malgun Gothic"/>
                </w:rPr>
                <w:t>F</w:t>
              </w:r>
              <w:r>
                <w:rPr>
                  <w:rFonts w:eastAsia="Malgun Gothic"/>
                  <w:vertAlign w:val="subscript"/>
                </w:rPr>
                <w:t>DL_low</w:t>
              </w:r>
            </w:ins>
          </w:p>
        </w:tc>
        <w:tc>
          <w:tcPr>
            <w:tcW w:w="283" w:type="dxa"/>
            <w:tcBorders>
              <w:top w:val="single" w:sz="4" w:space="0" w:color="auto"/>
              <w:left w:val="nil"/>
              <w:bottom w:val="single" w:sz="4" w:space="0" w:color="auto"/>
              <w:right w:val="single" w:sz="4" w:space="0" w:color="auto"/>
            </w:tcBorders>
            <w:vAlign w:val="center"/>
          </w:tcPr>
          <w:p>
            <w:pPr>
              <w:pStyle w:val="TAC"/>
              <w:rPr>
                <w:ins w:id="149" w:author="Kevin Wang (QMC)" w:date="2021-04-26T22:26:00Z"/>
                <w:rFonts w:cs="Arial"/>
                <w:color w:val="000000"/>
                <w:szCs w:val="18"/>
              </w:rPr>
            </w:pPr>
            <w:ins w:id="150" w:author="Kevin Wang (QMC)" w:date="2021-04-26T22:27:00Z">
              <w:r>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pPr>
              <w:pStyle w:val="TAC"/>
              <w:rPr>
                <w:ins w:id="151" w:author="Kevin Wang (QMC)" w:date="2021-04-26T22:26:00Z"/>
                <w:rFonts w:cs="Arial"/>
                <w:color w:val="000000"/>
                <w:szCs w:val="18"/>
              </w:rPr>
            </w:pPr>
            <w:ins w:id="152" w:author="Kevin Wang (QMC)" w:date="2021-04-26T22:27:00Z">
              <w:r>
                <w:rPr>
                  <w:rFonts w:eastAsia="Malgun Gothic"/>
                </w:rPr>
                <w:t>F</w:t>
              </w:r>
              <w:r>
                <w:rPr>
                  <w:rFonts w:eastAsia="Malgun Gothic"/>
                  <w:vertAlign w:val="subscript"/>
                </w:rPr>
                <w:t>DL_high</w:t>
              </w:r>
            </w:ins>
          </w:p>
        </w:tc>
        <w:tc>
          <w:tcPr>
            <w:tcW w:w="1138" w:type="dxa"/>
            <w:tcBorders>
              <w:top w:val="single" w:sz="4" w:space="0" w:color="auto"/>
              <w:left w:val="nil"/>
              <w:bottom w:val="single" w:sz="4" w:space="0" w:color="auto"/>
              <w:right w:val="single" w:sz="4" w:space="0" w:color="auto"/>
            </w:tcBorders>
            <w:vAlign w:val="center"/>
          </w:tcPr>
          <w:p>
            <w:pPr>
              <w:pStyle w:val="TAC"/>
              <w:rPr>
                <w:ins w:id="153" w:author="Kevin Wang (QMC)" w:date="2021-04-26T22:26:00Z"/>
                <w:rFonts w:cs="Arial"/>
                <w:color w:val="000000"/>
                <w:szCs w:val="18"/>
              </w:rPr>
            </w:pPr>
            <w:ins w:id="154" w:author="Kevin Wang (QMC)" w:date="2021-04-26T22:27:00Z">
              <w:r>
                <w:rPr>
                  <w:rFonts w:eastAsia="Malgun Gothic"/>
                </w:rPr>
                <w:t>-50</w:t>
              </w:r>
            </w:ins>
          </w:p>
        </w:tc>
        <w:tc>
          <w:tcPr>
            <w:tcW w:w="709" w:type="dxa"/>
            <w:tcBorders>
              <w:top w:val="single" w:sz="4" w:space="0" w:color="auto"/>
              <w:left w:val="nil"/>
              <w:bottom w:val="single" w:sz="4" w:space="0" w:color="auto"/>
              <w:right w:val="single" w:sz="4" w:space="0" w:color="auto"/>
            </w:tcBorders>
            <w:noWrap/>
            <w:vAlign w:val="center"/>
          </w:tcPr>
          <w:p>
            <w:pPr>
              <w:pStyle w:val="TAC"/>
              <w:rPr>
                <w:ins w:id="155" w:author="Kevin Wang (QMC)" w:date="2021-04-26T22:26:00Z"/>
                <w:rFonts w:cs="Arial"/>
                <w:color w:val="000000"/>
                <w:szCs w:val="18"/>
              </w:rPr>
            </w:pPr>
            <w:ins w:id="156" w:author="Kevin Wang (QMC)" w:date="2021-04-26T22:27:00Z">
              <w:r>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pPr>
              <w:pStyle w:val="TAC"/>
              <w:rPr>
                <w:ins w:id="157" w:author="Kevin Wang (QMC)" w:date="2021-04-26T22:26:00Z"/>
                <w:rFonts w:cs="Arial"/>
                <w:color w:val="000000"/>
                <w:szCs w:val="18"/>
              </w:rPr>
            </w:pPr>
            <w:ins w:id="158" w:author="Kevin Wang (QMC)" w:date="2021-05-13T21:45:00Z">
              <w:r>
                <w:rPr>
                  <w:rFonts w:cs="Arial"/>
                  <w:color w:val="000000"/>
                  <w:szCs w:val="18"/>
                </w:rPr>
                <w:t>2</w:t>
              </w:r>
            </w:ins>
          </w:p>
        </w:tc>
      </w:tr>
      <w:tr>
        <w:tblPrEx>
          <w:tblW w:w="9776" w:type="dxa"/>
          <w:jc w:val="center"/>
          <w:tblLayout w:type="fixed"/>
          <w:tblPrExChange w:id="159" w:author="Kevin Wang (QMC)" w:date="2021-04-26T22:27:00Z">
            <w:tblPrEx>
              <w:tblW w:w="9776" w:type="dxa"/>
              <w:jc w:val="center"/>
              <w:tblLayout w:type="fixed"/>
            </w:tblPrEx>
          </w:tblPrExChange>
        </w:tblPrEx>
        <w:trPr>
          <w:trHeight w:val="188"/>
          <w:jc w:val="center"/>
          <w:trPrChange w:id="160" w:author="Kevin Wang (QMC)" w:date="2021-04-26T22:27:00Z">
            <w:trPr>
              <w:gridAfter w:val="0"/>
              <w:trHeight w:val="188"/>
              <w:jc w:val="center"/>
            </w:trPr>
          </w:trPrChange>
        </w:trPr>
        <w:tc>
          <w:tcPr>
            <w:tcW w:w="1694" w:type="dxa"/>
            <w:vMerge w:val="restart"/>
            <w:tcBorders>
              <w:top w:val="single" w:sz="4" w:space="0" w:color="auto"/>
              <w:left w:val="single" w:sz="4" w:space="0" w:color="auto"/>
              <w:right w:val="single" w:sz="4" w:space="0" w:color="auto"/>
            </w:tcBorders>
            <w:tcPrChange w:id="161" w:author="Kevin Wang (QMC)" w:date="2021-04-26T22:27:00Z">
              <w:tcPr>
                <w:tcW w:w="1694" w:type="dxa"/>
                <w:gridSpan w:val="2"/>
                <w:vMerge w:val="restart"/>
                <w:tcBorders>
                  <w:left w:val="single" w:sz="4" w:space="0" w:color="auto"/>
                  <w:right w:val="single" w:sz="4" w:space="0" w:color="auto"/>
                </w:tcBorders>
              </w:tcPr>
            </w:tcPrChange>
          </w:tcPr>
          <w:p>
            <w:pPr>
              <w:pStyle w:val="TAH"/>
              <w:rPr>
                <w:lang w:eastAsia="ja-JP"/>
              </w:rPr>
            </w:pPr>
            <w:r>
              <w:rPr>
                <w:lang w:eastAsia="ja-JP"/>
              </w:rPr>
              <w:t>DC</w:t>
            </w:r>
            <w:r>
              <w:t>_</w:t>
            </w:r>
            <w:r>
              <w:rPr>
                <w:lang w:eastAsia="zh-TW"/>
              </w:rPr>
              <w:t>66_n41</w:t>
            </w:r>
          </w:p>
        </w:tc>
        <w:tc>
          <w:tcPr>
            <w:tcW w:w="2833" w:type="dxa"/>
            <w:tcBorders>
              <w:top w:val="single" w:sz="4" w:space="0" w:color="auto"/>
              <w:left w:val="nil"/>
              <w:bottom w:val="single" w:sz="4" w:space="0" w:color="auto"/>
              <w:right w:val="single" w:sz="4" w:space="0" w:color="auto"/>
            </w:tcBorders>
            <w:vAlign w:val="center"/>
            <w:tcPrChange w:id="162" w:author="Kevin Wang (QMC)" w:date="2021-04-26T22:27:00Z">
              <w:tcPr>
                <w:tcW w:w="2833" w:type="dxa"/>
                <w:gridSpan w:val="2"/>
                <w:tcBorders>
                  <w:top w:val="single" w:sz="4" w:space="0" w:color="auto"/>
                  <w:left w:val="nil"/>
                  <w:bottom w:val="single" w:sz="4" w:space="0" w:color="auto"/>
                  <w:right w:val="single" w:sz="4" w:space="0" w:color="auto"/>
                </w:tcBorders>
                <w:vAlign w:val="center"/>
              </w:tcPr>
            </w:tcPrChange>
          </w:tcPr>
          <w:p>
            <w:pPr>
              <w:pStyle w:val="TAL"/>
              <w:rPr>
                <w:szCs w:val="18"/>
              </w:rPr>
            </w:pPr>
            <w:r>
              <w:rPr>
                <w:rFonts w:cs="Arial"/>
                <w:color w:val="000000"/>
                <w:szCs w:val="18"/>
              </w:rPr>
              <w:t>E-UTRA Band 5, 12, 13, 14, 17, 26, 27, 28, 29, 43, 85</w:t>
            </w:r>
          </w:p>
        </w:tc>
        <w:tc>
          <w:tcPr>
            <w:tcW w:w="851" w:type="dxa"/>
            <w:tcBorders>
              <w:top w:val="single" w:sz="4" w:space="0" w:color="auto"/>
              <w:left w:val="nil"/>
              <w:bottom w:val="single" w:sz="4" w:space="0" w:color="auto"/>
              <w:right w:val="single" w:sz="4" w:space="0" w:color="auto"/>
            </w:tcBorders>
            <w:vAlign w:val="center"/>
            <w:tcPrChange w:id="163" w:author="Kevin Wang (QMC)" w:date="2021-04-26T22:27:00Z">
              <w:tcPr>
                <w:tcW w:w="851"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Change w:id="164" w:author="Kevin Wang (QMC)" w:date="2021-04-26T22:27:00Z">
              <w:tcPr>
                <w:tcW w:w="283"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Change w:id="165" w:author="Kevin Wang (QMC)" w:date="2021-04-26T22:27:00Z">
              <w:tcPr>
                <w:tcW w:w="1134"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Change w:id="166" w:author="Kevin Wang (QMC)" w:date="2021-04-26T22:27:00Z">
              <w:tcPr>
                <w:tcW w:w="1138"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Change w:id="167" w:author="Kevin Wang (QMC)" w:date="2021-04-26T22:27:00Z">
              <w:tcPr>
                <w:tcW w:w="70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Change w:id="168" w:author="Kevin Wang (QMC)" w:date="2021-04-26T22:27:00Z">
              <w:tcPr>
                <w:tcW w:w="1134"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rPr>
                <w:rFonts w:cs="Arial"/>
                <w:color w:val="000000"/>
                <w:szCs w:val="18"/>
              </w:rPr>
              <w:t> </w:t>
            </w: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lang w:eastAsia="ja-JP"/>
              </w:rPr>
            </w:pPr>
          </w:p>
        </w:tc>
        <w:tc>
          <w:tcPr>
            <w:tcW w:w="2833" w:type="dxa"/>
            <w:tcBorders>
              <w:top w:val="single" w:sz="4" w:space="0" w:color="auto"/>
              <w:left w:val="nil"/>
              <w:bottom w:val="single" w:sz="4" w:space="0" w:color="auto"/>
              <w:right w:val="single" w:sz="4" w:space="0" w:color="auto"/>
            </w:tcBorders>
            <w:vAlign w:val="center"/>
          </w:tcPr>
          <w:p>
            <w:pPr>
              <w:pStyle w:val="TAL"/>
              <w:rPr>
                <w:szCs w:val="18"/>
              </w:rPr>
            </w:pPr>
            <w:r>
              <w:rPr>
                <w:rFonts w:cs="Arial"/>
                <w:color w:val="000000"/>
                <w:szCs w:val="18"/>
              </w:rPr>
              <w:t>E-UTRA Band 42, 48,</w:t>
            </w:r>
            <w:r>
              <w:rPr>
                <w:rFonts w:cs="Arial"/>
                <w:color w:val="000000"/>
                <w:szCs w:val="18"/>
              </w:rPr>
              <w:br/>
              <w:t>NR band n77</w:t>
            </w:r>
          </w:p>
        </w:tc>
        <w:tc>
          <w:tcPr>
            <w:tcW w:w="851"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rPr>
                <w:szCs w:val="18"/>
              </w:rPr>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szCs w:val="18"/>
              </w:rPr>
            </w:pPr>
            <w:r>
              <w:rPr>
                <w:rFonts w:cs="Arial"/>
                <w:color w:val="000000"/>
                <w:szCs w:val="18"/>
              </w:rPr>
              <w:t>2</w:t>
            </w:r>
          </w:p>
        </w:tc>
      </w:tr>
      <w:tr>
        <w:trPr>
          <w:trHeight w:val="188"/>
          <w:jc w:val="center"/>
        </w:trPr>
        <w:tc>
          <w:tcPr>
            <w:tcW w:w="9776" w:type="dxa"/>
            <w:gridSpan w:val="8"/>
            <w:tcBorders>
              <w:top w:val="single" w:sz="4" w:space="0" w:color="auto"/>
              <w:left w:val="single" w:sz="4" w:space="0" w:color="auto"/>
              <w:bottom w:val="single" w:sz="4" w:space="0" w:color="auto"/>
              <w:right w:val="single" w:sz="4" w:space="0" w:color="auto"/>
            </w:tcBorders>
            <w:vAlign w:val="center"/>
          </w:tcPr>
          <w:p>
            <w:pPr>
              <w:pStyle w:val="TAN"/>
            </w:pPr>
            <w:r>
              <w:lastRenderedPageBreak/>
              <w:t>NOTE 1:</w:t>
            </w:r>
            <w:r>
              <w:tab/>
              <w:t>F</w:t>
            </w:r>
            <w:r>
              <w:rPr>
                <w:vertAlign w:val="subscript"/>
              </w:rPr>
              <w:t>DL_low</w:t>
            </w:r>
            <w:r>
              <w:t xml:space="preserve"> and F</w:t>
            </w:r>
            <w:r>
              <w:rPr>
                <w:vertAlign w:val="subscript"/>
              </w:rPr>
              <w:t>DL_high</w:t>
            </w:r>
            <w:r>
              <w:t xml:space="preserve"> refer to each E-UTRA frequency band specified in Table 5.5-1 in TS 36.101 [5].</w:t>
            </w:r>
          </w:p>
          <w:p>
            <w:pPr>
              <w:pStyle w:val="TAN"/>
              <w:rPr>
                <w:rFonts w:cs="Arial"/>
              </w:rPr>
            </w:pPr>
            <w:r>
              <w:rPr>
                <w:rFonts w:cs="Arial"/>
              </w:rPr>
              <w:t>NOTE</w:t>
            </w:r>
            <w:r>
              <w:rPr>
                <w:rFonts w:eastAsia="Malgun Gothic" w:cs="Arial"/>
              </w:rPr>
              <w:t xml:space="preserve"> </w:t>
            </w:r>
            <w:r>
              <w:rPr>
                <w:rFonts w:cs="Arial"/>
                <w:lang w:eastAsia="ja-JP"/>
              </w:rPr>
              <w:t>2</w:t>
            </w:r>
            <w:r>
              <w:rPr>
                <w:rFonts w:cs="Arial"/>
              </w:rPr>
              <w:t>:</w:t>
            </w:r>
            <w:r>
              <w:rPr>
                <w:rFonts w:cs="Arial"/>
              </w:rPr>
              <w:tab/>
              <w:t>As exceptions, measurements with a level up to the applicable requirements defined in Table 6.6.3.1-2 are permitted for each assigned E-UTRA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pPr>
              <w:pStyle w:val="TAN"/>
            </w:pPr>
            <w:r>
              <w:t>NOTE 3:</w:t>
            </w:r>
            <w:r>
              <w:tab/>
              <w:t>Applicable when co-existence with PHS system operating in 1884.5 - 1915.7 MHz</w:t>
            </w:r>
          </w:p>
          <w:p>
            <w:pPr>
              <w:pStyle w:val="TAN"/>
              <w:rPr>
                <w:rFonts w:cs="Arial"/>
                <w:lang w:eastAsia="ja-JP"/>
              </w:rPr>
            </w:pPr>
            <w:r>
              <w:rPr>
                <w:rFonts w:cs="Arial"/>
                <w:lang w:eastAsia="ja-JP"/>
              </w:rPr>
              <w:t xml:space="preserve">NOTE </w:t>
            </w:r>
            <w:r>
              <w:rPr>
                <w:rFonts w:eastAsia="Malgun Gothic" w:cs="Arial"/>
              </w:rPr>
              <w:t>4</w:t>
            </w:r>
            <w:r>
              <w:rPr>
                <w:rFonts w:cs="Arial"/>
                <w:lang w:eastAsia="ja-JP"/>
              </w:rPr>
              <w:t>:</w:t>
            </w:r>
            <w:r>
              <w:rPr>
                <w:rFonts w:cs="Arial"/>
                <w:lang w:eastAsia="ja-JP"/>
              </w:rPr>
              <w:tab/>
              <w:t>Void.</w:t>
            </w:r>
          </w:p>
          <w:p>
            <w:pPr>
              <w:pStyle w:val="TAN"/>
              <w:rPr>
                <w:rFonts w:cs="Arial"/>
              </w:rPr>
            </w:pPr>
            <w:r>
              <w:rPr>
                <w:rFonts w:cs="Arial"/>
              </w:rPr>
              <w:t xml:space="preserve">NOTE </w:t>
            </w:r>
            <w:r>
              <w:rPr>
                <w:rFonts w:cs="Arial"/>
                <w:lang w:eastAsia="ja-JP"/>
              </w:rPr>
              <w:t>5</w:t>
            </w:r>
            <w:r>
              <w:rPr>
                <w:rFonts w:cs="Arial"/>
              </w:rPr>
              <w:t>:</w:t>
            </w:r>
            <w:r>
              <w:rPr>
                <w:rFonts w:cs="Arial"/>
              </w:rPr>
              <w:tab/>
              <w:t>These requirements also apply for the frequency ranges that are less than F</w:t>
            </w:r>
            <w:r>
              <w:rPr>
                <w:rFonts w:cs="Arial"/>
                <w:vertAlign w:val="subscript"/>
              </w:rPr>
              <w:t>OOB</w:t>
            </w:r>
            <w:r>
              <w:rPr>
                <w:rFonts w:cs="Arial"/>
              </w:rPr>
              <w:t xml:space="preserve"> (MHz) in Table 6.5.3.1-1 and Table 6.5A.3.1-1</w:t>
            </w:r>
            <w:r>
              <w:t xml:space="preserve"> </w:t>
            </w:r>
            <w:r>
              <w:rPr>
                <w:rFonts w:cs="Arial"/>
              </w:rPr>
              <w:t>of TS 38.101-1 [2]  from the edge of the channel bandwidth.</w:t>
            </w:r>
          </w:p>
          <w:p>
            <w:pPr>
              <w:pStyle w:val="TAN"/>
              <w:rPr>
                <w:rFonts w:cs="Arial"/>
              </w:rPr>
            </w:pPr>
            <w:r>
              <w:rPr>
                <w:rFonts w:cs="Arial"/>
              </w:rPr>
              <w:t>NOTE 6:</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rPr>
                <w:rFonts w:cs="Arial"/>
              </w:rPr>
            </w:pPr>
            <w:r>
              <w:rPr>
                <w:rFonts w:cs="Arial"/>
              </w:rPr>
              <w:t>NOTE 7:</w:t>
            </w:r>
            <w:r>
              <w:tab/>
            </w:r>
            <w:r>
              <w:rPr>
                <w:rFonts w:cs="Arial"/>
              </w:rPr>
              <w:t>For these adjacent bands, the emission limit could imply risk of harmful interference to UE(s) operating in the protected operating band.</w:t>
            </w:r>
          </w:p>
          <w:p>
            <w:pPr>
              <w:pStyle w:val="TAN"/>
              <w:rPr>
                <w:rFonts w:cs="Arial"/>
              </w:rPr>
            </w:pPr>
            <w:r>
              <w:rPr>
                <w:rFonts w:cs="Arial"/>
              </w:rPr>
              <w:t>NOTE 8:</w:t>
            </w:r>
            <w: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rPr>
                <w:rFonts w:cs="Arial"/>
              </w:rPr>
            </w:pPr>
            <w:r>
              <w:rPr>
                <w:rFonts w:cs="Arial"/>
              </w:rPr>
              <w:t>NOTE 9:</w:t>
            </w:r>
            <w:r>
              <w:tab/>
            </w:r>
            <w:r>
              <w:rPr>
                <w:rFonts w:cs="Arial"/>
              </w:rPr>
              <w:t>Applicable when the assigned E-UTRA carrier is confined within 718 MHz and 748 MHz and when the channel bandwidth used is 5 or 10 MHz.</w:t>
            </w:r>
          </w:p>
          <w:p>
            <w:pPr>
              <w:pStyle w:val="TAN"/>
              <w:rPr>
                <w:rFonts w:cs="Arial"/>
              </w:rPr>
            </w:pPr>
            <w:r>
              <w:rPr>
                <w:rFonts w:cs="Arial"/>
              </w:rPr>
              <w:t>NOTE 10:</w:t>
            </w:r>
            <w:r>
              <w:tab/>
            </w:r>
            <w:r>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rPr>
                <w:rFonts w:cs="Arial"/>
              </w:rPr>
            </w:pPr>
            <w:r>
              <w:rPr>
                <w:rFonts w:cs="Arial"/>
              </w:rPr>
              <w:t>NOTE 11:</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rPr>
                <w:rFonts w:cs="Arial"/>
                <w:lang w:eastAsia="ja-JP"/>
              </w:rPr>
            </w:pPr>
            <w:r>
              <w:rPr>
                <w:rFonts w:cs="Arial"/>
                <w:lang w:eastAsia="ja-JP"/>
              </w:rPr>
              <w:t>NOTE 12:</w:t>
            </w:r>
            <w:r>
              <w:tab/>
            </w:r>
            <w:r>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cs="Arial"/>
                <w:vertAlign w:val="subscript"/>
                <w:lang w:eastAsia="ja-JP"/>
              </w:rPr>
              <w:t>start</w:t>
            </w:r>
            <w:r>
              <w:rPr>
                <w:rFonts w:cs="Arial"/>
                <w:lang w:eastAsia="ja-JP"/>
              </w:rPr>
              <w:t xml:space="preserve"> &gt; 3.</w:t>
            </w:r>
          </w:p>
          <w:p>
            <w:pPr>
              <w:pStyle w:val="TAN"/>
              <w:rPr>
                <w:rFonts w:eastAsia="MS Mincho" w:cs="Arial"/>
                <w:lang w:eastAsia="ja-JP"/>
              </w:rPr>
            </w:pPr>
            <w:r>
              <w:rPr>
                <w:rFonts w:cs="Arial"/>
              </w:rPr>
              <w:t>NOTE13:</w:t>
            </w:r>
            <w:r>
              <w:rPr>
                <w:rFonts w:cs="Arial"/>
              </w:rPr>
              <w:tab/>
              <w:t>Void.</w:t>
            </w:r>
          </w:p>
          <w:p>
            <w:pPr>
              <w:pStyle w:val="TAN"/>
              <w:rPr>
                <w:rFonts w:cs="Arial"/>
              </w:rPr>
            </w:pPr>
            <w:r>
              <w:rPr>
                <w:rFonts w:cs="Arial"/>
              </w:rPr>
              <w:t>NOTE 14:</w:t>
            </w:r>
            <w:r>
              <w:rPr>
                <w:rFonts w:cs="Arial"/>
              </w:rPr>
              <w:tab/>
              <w:t>This requirement is applicable for 5 and 10 MHz E-UTRA channel bandwidth allocated within 718-728MHz. For carriers of 10 MHz bandwidth, this requirement applies for an uplink transmission bandwidth less than or equal to 30 RB with RB</w:t>
            </w:r>
            <w:r>
              <w:rPr>
                <w:rFonts w:cs="Arial"/>
                <w:vertAlign w:val="subscript"/>
              </w:rPr>
              <w:t>start</w:t>
            </w:r>
            <w:r>
              <w:rPr>
                <w:rFonts w:cs="Arial"/>
              </w:rPr>
              <w:t xml:space="preserve"> &gt; 1 and RB</w:t>
            </w:r>
            <w:r>
              <w:rPr>
                <w:rFonts w:cs="Arial"/>
                <w:vertAlign w:val="subscript"/>
              </w:rPr>
              <w:t>start</w:t>
            </w:r>
            <w:r>
              <w:rPr>
                <w:rFonts w:cs="Arial"/>
              </w:rPr>
              <w:t xml:space="preserve"> &lt; 48.</w:t>
            </w:r>
          </w:p>
          <w:p>
            <w:pPr>
              <w:pStyle w:val="TAN"/>
              <w:rPr>
                <w:rFonts w:eastAsia="MS Mincho" w:cs="Arial"/>
              </w:rPr>
            </w:pPr>
            <w:r>
              <w:rPr>
                <w:rFonts w:cs="Arial"/>
              </w:rPr>
              <w:t xml:space="preserve">NOTE </w:t>
            </w:r>
            <w:r>
              <w:rPr>
                <w:rFonts w:eastAsia="MS Mincho" w:cs="Arial"/>
              </w:rPr>
              <w:t>15</w:t>
            </w:r>
            <w:r>
              <w:rPr>
                <w:rFonts w:cs="Arial"/>
              </w:rPr>
              <w:t>:</w:t>
            </w:r>
            <w:r>
              <w:rPr>
                <w:rFonts w:cs="Arial"/>
              </w:rPr>
              <w:tab/>
              <w:t>Void.</w:t>
            </w:r>
          </w:p>
          <w:p>
            <w:pPr>
              <w:pStyle w:val="TAN"/>
              <w:rPr>
                <w:rFonts w:cs="Arial"/>
              </w:rPr>
            </w:pPr>
            <w:r>
              <w:rPr>
                <w:rFonts w:cs="Arial"/>
              </w:rPr>
              <w:t>NOTE 16: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rPr>
                <w:rFonts w:cs="Arial"/>
              </w:rPr>
            </w:pPr>
            <w:r>
              <w:rPr>
                <w:rFonts w:cs="Arial"/>
              </w:rPr>
              <w:t>NOTE 17:</w:t>
            </w:r>
            <w:r>
              <w:rPr>
                <w:rFonts w:cs="Arial"/>
              </w:rPr>
              <w:tab/>
              <w:t>This requirement is applicable in the case of a 10 MHz E-UTRA carrier confined within 703 MHz and 733 MHz, otherwise the requirement of -25 dBm with a measurement bandwidth of 8 MHz applies.</w:t>
            </w:r>
          </w:p>
          <w:p>
            <w:pPr>
              <w:pStyle w:val="TAN"/>
              <w:rPr>
                <w:rFonts w:cs="Arial"/>
              </w:rPr>
            </w:pPr>
            <w:r>
              <w:rPr>
                <w:rFonts w:cs="Arial"/>
              </w:rPr>
              <w:t>NOTE 18:</w:t>
            </w:r>
            <w:r>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rPr>
                <w:rFonts w:cs="Arial"/>
              </w:rPr>
            </w:pPr>
            <w:r>
              <w:rPr>
                <w:rFonts w:cs="Arial"/>
              </w:rPr>
              <w:t>NOTE 19:</w:t>
            </w:r>
            <w:r>
              <w:rPr>
                <w:rFonts w:cs="Arial"/>
              </w:rPr>
              <w:tab/>
              <w:t>Void.</w:t>
            </w:r>
          </w:p>
          <w:p>
            <w:pPr>
              <w:pStyle w:val="TAN"/>
            </w:pPr>
            <w:r>
              <w:t>NOTE 20:</w:t>
            </w:r>
            <w:r>
              <w:tab/>
              <w:t>Void.</w:t>
            </w:r>
          </w:p>
          <w:p>
            <w:pPr>
              <w:pStyle w:val="TAN"/>
            </w:pPr>
            <w:r>
              <w:t>NOTE 21:</w:t>
            </w:r>
            <w:r>
              <w:tab/>
              <w:t>Void.</w:t>
            </w:r>
          </w:p>
        </w:tc>
      </w:tr>
    </w:tbl>
    <w:p/>
    <w:p>
      <w:pPr>
        <w:rPr>
          <w:noProof/>
          <w:sz w:val="32"/>
          <w:szCs w:val="32"/>
        </w:rPr>
      </w:pPr>
    </w:p>
    <w:p>
      <w:pPr>
        <w:rPr>
          <w:rFonts w:eastAsia="??"/>
          <w:b/>
          <w:bCs/>
          <w:color w:val="FF0000"/>
          <w:sz w:val="28"/>
          <w:szCs w:val="28"/>
        </w:rPr>
      </w:pPr>
      <w:r>
        <w:rPr>
          <w:rFonts w:eastAsia="??"/>
          <w:b/>
          <w:bCs/>
          <w:color w:val="FF0000"/>
          <w:sz w:val="28"/>
          <w:szCs w:val="28"/>
          <w:highlight w:val="yellow"/>
        </w:rPr>
        <w:t>&lt;&lt; Unchanged sections skipped&gt;&gt;</w:t>
      </w:r>
    </w:p>
    <w:p>
      <w:pPr>
        <w:rPr>
          <w:b/>
          <w:bCs/>
          <w:sz w:val="32"/>
          <w:szCs w:val="32"/>
        </w:rPr>
      </w:pPr>
      <w:r>
        <w:rPr>
          <w:b/>
          <w:bCs/>
          <w:sz w:val="32"/>
          <w:szCs w:val="32"/>
          <w:highlight w:val="yellow"/>
        </w:rPr>
        <w:t>&lt;&lt; End of changes &gt;&gt;</w:t>
      </w:r>
    </w:p>
    <w:p>
      <w:pPr>
        <w:rPr>
          <w:noProof/>
        </w:rPr>
      </w:pPr>
    </w:p>
    <w:sectPr>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MS Mincho"/>
    <w:charset w:val="80"/>
    <w:family w:val="roman"/>
    <w:pitch w:val="default"/>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B62276B"/>
    <w:multiLevelType w:val="hybridMultilevel"/>
    <w:tmpl w:val="7A9AD450"/>
    <w:lvl w:ilvl="0" w:tplc="ECA88C7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B4696"/>
    <w:multiLevelType w:val="hybridMultilevel"/>
    <w:tmpl w:val="B65A2C2A"/>
    <w:lvl w:ilvl="0" w:tplc="2998F77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5"/>
  </w:num>
  <w:num w:numId="5">
    <w:abstractNumId w:val="17"/>
  </w:num>
  <w:num w:numId="6">
    <w:abstractNumId w:val="32"/>
  </w:num>
  <w:num w:numId="7">
    <w:abstractNumId w:val="37"/>
  </w:num>
  <w:num w:numId="8">
    <w:abstractNumId w:val="38"/>
  </w:num>
  <w:num w:numId="9">
    <w:abstractNumId w:val="12"/>
  </w:num>
  <w:num w:numId="10">
    <w:abstractNumId w:val="5"/>
  </w:num>
  <w:num w:numId="11">
    <w:abstractNumId w:val="19"/>
  </w:num>
  <w:num w:numId="12">
    <w:abstractNumId w:val="21"/>
  </w:num>
  <w:num w:numId="13">
    <w:abstractNumId w:val="13"/>
  </w:num>
  <w:num w:numId="14">
    <w:abstractNumId w:val="31"/>
  </w:num>
  <w:num w:numId="15">
    <w:abstractNumId w:val="0"/>
  </w:num>
  <w:num w:numId="16">
    <w:abstractNumId w:val="14"/>
  </w:num>
  <w:num w:numId="17">
    <w:abstractNumId w:val="3"/>
  </w:num>
  <w:num w:numId="18">
    <w:abstractNumId w:val="26"/>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7"/>
  </w:num>
  <w:num w:numId="29">
    <w:abstractNumId w:val="20"/>
  </w:num>
  <w:num w:numId="30">
    <w:abstractNumId w:val="16"/>
  </w:num>
  <w:num w:numId="31">
    <w:abstractNumId w:val="23"/>
  </w:num>
  <w:num w:numId="32">
    <w:abstractNumId w:val="22"/>
  </w:num>
  <w:num w:numId="33">
    <w:abstractNumId w:val="6"/>
  </w:num>
  <w:num w:numId="34">
    <w:abstractNumId w:val="2"/>
  </w:num>
  <w:num w:numId="35">
    <w:abstractNumId w:val="18"/>
  </w:num>
  <w:num w:numId="36">
    <w:abstractNumId w:val="15"/>
  </w:num>
  <w:num w:numId="37">
    <w:abstractNumId w:val="1"/>
  </w:num>
  <w:num w:numId="38">
    <w:abstractNumId w:val="36"/>
  </w:num>
  <w:num w:numId="3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27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uiPriority w:val="99"/>
    <w:qFormat/>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hAnsi="Arial"/>
      <w:sz w:val="22"/>
      <w:lang w:val="en-GB" w:eastAsia="en-US"/>
    </w:rPr>
  </w:style>
  <w:style w:type="character" w:customStyle="1" w:styleId="H6Char">
    <w:name w:val="H6 Char"/>
    <w:link w:val="H6"/>
    <w:rPr>
      <w:rFonts w:ascii="Arial" w:hAnsi="Arial"/>
      <w:lang w:val="en-GB" w:eastAsia="en-US"/>
    </w:rPr>
  </w:style>
  <w:style w:type="character" w:customStyle="1" w:styleId="Heading6Char">
    <w:name w:val="Heading 6 Char"/>
    <w:aliases w:val="T1 Char4,Header 6 Char"/>
    <w:link w:val="Heading6"/>
    <w:rPr>
      <w:rFonts w:ascii="Arial" w:hAnsi="Arial"/>
      <w:lang w:val="en-GB" w:eastAsia="en-US"/>
    </w:rPr>
  </w:style>
  <w:style w:type="character" w:customStyle="1" w:styleId="Heading7Char">
    <w:name w:val="Heading 7 Char"/>
    <w:aliases w:val="L7 Char,Header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hAnsi="Arial"/>
      <w:b/>
      <w:noProof/>
      <w:sz w:val="18"/>
      <w:lang w:val="en-GB" w:eastAsia="en-US"/>
    </w:rPr>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rPr>
      <w:rFonts w:ascii="Times New Roman" w:hAnsi="Times New Roman"/>
      <w:lang w:val="en-GB" w:eastAsia="en-US"/>
    </w:rPr>
  </w:style>
  <w:style w:type="character" w:customStyle="1" w:styleId="ListChar">
    <w:name w:val="List Char"/>
    <w:link w:val="List"/>
    <w:rPr>
      <w:rFonts w:ascii="Times New Roman" w:hAnsi="Times New Roman"/>
      <w:lang w:val="en-GB" w:eastAsia="en-US"/>
    </w:rPr>
  </w:style>
  <w:style w:type="character" w:customStyle="1" w:styleId="B1Zchn">
    <w:name w:val="B1 Zchn"/>
    <w:link w:val="B10"/>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5Char">
    <w:name w:val="B5 Char"/>
    <w:link w:val="B5"/>
    <w:rPr>
      <w:rFonts w:ascii="Times New Roman" w:hAnsi="Times New Roman"/>
      <w:lang w:val="en-GB" w:eastAsia="en-US"/>
    </w:rPr>
  </w:style>
  <w:style w:type="character" w:customStyle="1" w:styleId="CommentTextChar">
    <w:name w:val="Comment Text Char"/>
    <w:link w:val="CommentText"/>
    <w:uiPriority w:val="99"/>
    <w:rPr>
      <w:rFonts w:ascii="Times New Roman" w:hAnsi="Times New Roman"/>
      <w:lang w:val="en-GB" w:eastAsia="en-US"/>
    </w:rPr>
  </w:style>
  <w:style w:type="paragraph" w:styleId="Revision">
    <w:name w:val="Revision"/>
    <w:hidden/>
    <w:uiPriority w:val="99"/>
    <w:rPr>
      <w:rFonts w:ascii="Times New Roman" w:eastAsia="MS Mincho"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Pr>
      <w:rFonts w:ascii="Times New Roman" w:eastAsia="MS Mincho" w:hAnsi="Times New Roman"/>
      <w:lang w:val="en-GB" w:eastAsia="x-none"/>
    </w:rPr>
  </w:style>
  <w:style w:type="paragraph" w:styleId="PlainText">
    <w:name w:val="Plain Text"/>
    <w:basedOn w:val="Normal"/>
    <w:link w:val="PlainTextChar"/>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ascii="Times New Roman" w:eastAsia="Batang" w:hAnsi="Times New Roman"/>
      <w:lang w:val="en-GB" w:eastAsia="en-US"/>
    </w:rPr>
  </w:style>
  <w:style w:type="paragraph" w:styleId="Date">
    <w:name w:val="Date"/>
    <w:basedOn w:val="Normal"/>
    <w:next w:val="Normal"/>
    <w:link w:val="DateChar"/>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Pr>
      <w:rFonts w:ascii="Times New Roman" w:eastAsia="MS Mincho" w:hAnsi="Times New Roman"/>
      <w:lang w:val="en-GB" w:eastAsia="x-none"/>
    </w:rPr>
  </w:style>
  <w:style w:type="paragraph" w:customStyle="1" w:styleId="10">
    <w:name w:val="修订1"/>
    <w:hidden/>
    <w:semiHidden/>
    <w:rPr>
      <w:rFonts w:ascii="Times New Roman" w:eastAsia="Batang" w:hAnsi="Times New Roman"/>
      <w:lang w:val="en-GB" w:eastAsia="en-US"/>
    </w:rPr>
  </w:style>
  <w:style w:type="paragraph" w:customStyle="1" w:styleId="121">
    <w:name w:val="表 (青) 121"/>
    <w:hidden/>
    <w:uiPriority w:val="71"/>
    <w:rPr>
      <w:rFonts w:ascii="Times New Roman" w:eastAsia="SimSun" w:hAnsi="Times New Roman"/>
      <w:lang w:val="en-GB"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ascii="Times New Roman" w:eastAsia="Batang" w:hAnsi="Times New Roman"/>
      <w:lang w:val="en-GB" w:eastAsia="en-US"/>
    </w:rPr>
  </w:style>
  <w:style w:type="paragraph" w:customStyle="1" w:styleId="a3">
    <w:name w:val="変更箇所"/>
    <w:hidden/>
    <w:semiHidden/>
    <w:rPr>
      <w:rFonts w:ascii="Times New Roman" w:eastAsia="MS Mincho" w:hAnsi="Times New Roman"/>
      <w:lang w:val="en-GB" w:eastAsia="en-US"/>
    </w:rPr>
  </w:style>
  <w:style w:type="paragraph" w:customStyle="1" w:styleId="11">
    <w:name w:val="수정1"/>
    <w:hidden/>
    <w:semiHidden/>
    <w:rPr>
      <w:rFonts w:ascii="Times New Roman" w:eastAsia="Batang" w:hAnsi="Times New Roman"/>
      <w:lang w:val="en-GB" w:eastAsia="en-US"/>
    </w:rPr>
  </w:style>
  <w:style w:type="paragraph" w:customStyle="1" w:styleId="12">
    <w:name w:val="変更箇所1"/>
    <w:hidden/>
    <w:semiHidden/>
    <w:rPr>
      <w:rFonts w:ascii="Times New Roman" w:eastAsia="MS Mincho" w:hAnsi="Times New Roman"/>
      <w:lang w:val="en-GB" w:eastAsia="en-US"/>
    </w:rPr>
  </w:style>
  <w:style w:type="paragraph" w:customStyle="1" w:styleId="Revision2">
    <w:name w:val="Revision2"/>
    <w:hidden/>
    <w:semiHidden/>
    <w:rPr>
      <w:rFonts w:ascii="Times New Roman" w:eastAsia="MS Mincho" w:hAnsi="Times New Roman"/>
      <w:lang w:val="en-GB" w:eastAsia="en-US"/>
    </w:rPr>
  </w:style>
  <w:style w:type="paragraph" w:customStyle="1" w:styleId="2">
    <w:name w:val="変更箇所2"/>
    <w:hidden/>
    <w:semiHidden/>
    <w:rPr>
      <w:rFonts w:ascii="Times New Roman" w:eastAsia="MS Mincho" w:hAnsi="Times New Roman"/>
      <w:lang w:val="en-GB" w:eastAsia="en-US"/>
    </w:rPr>
  </w:style>
  <w:style w:type="paragraph" w:customStyle="1" w:styleId="3">
    <w:name w:val="修订3"/>
    <w:hidden/>
    <w:semiHidden/>
    <w:rPr>
      <w:rFonts w:ascii="Times New Roman" w:eastAsia="Batang" w:hAnsi="Times New Roman"/>
      <w:lang w:val="en-GB" w:eastAsia="en-US"/>
    </w:rPr>
  </w:style>
  <w:style w:type="paragraph" w:styleId="Subtitle">
    <w:name w:val="Subtitle"/>
    <w:basedOn w:val="Normal"/>
    <w:next w:val="Normal"/>
    <w:link w:val="SubtitleChar"/>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ascii="Times New Roman" w:eastAsia="Batang" w:hAnsi="Times New Roman"/>
      <w:lang w:val="en-GB" w:eastAsia="en-US"/>
    </w:rPr>
  </w:style>
  <w:style w:type="paragraph" w:customStyle="1" w:styleId="4">
    <w:name w:val="修订4"/>
    <w:hidden/>
    <w:semiHidden/>
    <w:rPr>
      <w:rFonts w:ascii="Times New Roman" w:eastAsia="Batang" w:hAnsi="Times New Roman"/>
      <w:lang w:val="en-GB" w:eastAsia="en-US"/>
    </w:rPr>
  </w:style>
  <w:style w:type="paragraph" w:customStyle="1" w:styleId="40">
    <w:name w:val="変更箇所4"/>
    <w:hidden/>
    <w:semiHidden/>
    <w:rPr>
      <w:rFonts w:ascii="Times New Roman" w:eastAsia="MS Mincho" w:hAnsi="Times New Roman"/>
      <w:lang w:val="en-GB" w:eastAsia="en-US"/>
    </w:rPr>
  </w:style>
  <w:style w:type="paragraph" w:customStyle="1" w:styleId="5">
    <w:name w:val="変更箇所5"/>
    <w:hidden/>
    <w:semiHidden/>
    <w:rPr>
      <w:rFonts w:ascii="Times New Roman" w:eastAsia="MS Mincho" w:hAnsi="Times New Roman"/>
      <w:lang w:val="en-GB" w:eastAsia="en-US"/>
    </w:rPr>
  </w:style>
  <w:style w:type="paragraph" w:customStyle="1" w:styleId="50">
    <w:name w:val="修订5"/>
    <w:hidden/>
    <w:semiHidden/>
    <w:rPr>
      <w:rFonts w:ascii="Times New Roman" w:eastAsia="Batang" w:hAnsi="Times New Roman"/>
      <w:lang w:val="en-GB" w:eastAsia="en-US"/>
    </w:rPr>
  </w:style>
  <w:style w:type="paragraph" w:customStyle="1" w:styleId="31">
    <w:name w:val="수정3"/>
    <w:hidden/>
    <w:semiHidden/>
    <w:rPr>
      <w:rFonts w:ascii="Times New Roman" w:eastAsia="Batang" w:hAnsi="Times New Roman"/>
      <w:lang w:val="en-GB" w:eastAsia="en-US"/>
    </w:rPr>
  </w:style>
  <w:style w:type="paragraph" w:customStyle="1" w:styleId="6">
    <w:name w:val="修订6"/>
    <w:hidden/>
    <w:semiHidden/>
    <w:rPr>
      <w:rFonts w:ascii="Times New Roman" w:eastAsia="Batang" w:hAnsi="Times New Roman"/>
      <w:lang w:val="en-GB" w:eastAsia="en-US"/>
    </w:rPr>
  </w:style>
  <w:style w:type="paragraph" w:customStyle="1" w:styleId="-31">
    <w:name w:val="深色列表 - 着色 31"/>
    <w:hidden/>
    <w:uiPriority w:val="99"/>
    <w:semiHidden/>
    <w:rPr>
      <w:rFonts w:ascii="Times New Roman" w:eastAsia="MS Mincho" w:hAnsi="Times New Roman"/>
      <w:lang w:val="en-GB" w:eastAsia="en-US"/>
    </w:rPr>
  </w:style>
  <w:style w:type="paragraph" w:customStyle="1" w:styleId="-11">
    <w:name w:val="彩色底纹 - 着色 11"/>
    <w:hidden/>
    <w:uiPriority w:val="99"/>
    <w:semiHidden/>
    <w:rPr>
      <w:rFonts w:ascii="Times New Roman" w:eastAsia="SimSun" w:hAnsi="Times New Roman"/>
      <w:lang w:val="en-GB" w:eastAsia="en-US"/>
    </w:rPr>
  </w:style>
  <w:style w:type="paragraph" w:customStyle="1" w:styleId="7">
    <w:name w:val="修订7"/>
    <w:hidden/>
    <w:semiHidden/>
    <w:rPr>
      <w:rFonts w:ascii="Times New Roman" w:eastAsia="Batang" w:hAnsi="Times New Roman"/>
      <w:lang w:val="en-GB" w:eastAsia="en-US"/>
    </w:rPr>
  </w:style>
  <w:style w:type="paragraph" w:customStyle="1" w:styleId="41">
    <w:name w:val="수정4"/>
    <w:hidden/>
    <w:semiHidden/>
    <w:rPr>
      <w:rFonts w:ascii="Times New Roman" w:eastAsia="Batang" w:hAnsi="Times New Roman"/>
      <w:lang w:val="en-GB" w:eastAsia="en-US"/>
    </w:rPr>
  </w:style>
  <w:style w:type="table" w:styleId="TableGrid">
    <w:name w:val="Table Grid"/>
    <w:aliases w:val="SGS Table Basic 1"/>
    <w:basedOn w:val="TableNormal"/>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pPr>
      <w:overflowPunct w:val="0"/>
      <w:autoSpaceDE w:val="0"/>
      <w:autoSpaceDN w:val="0"/>
      <w:adjustRightInd w:val="0"/>
      <w:textAlignment w:val="baseline"/>
    </w:pPr>
    <w:rPr>
      <w:rFonts w:eastAsia="Arial"/>
      <w:bCs/>
      <w:sz w:val="22"/>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Pr>
      <w:rFonts w:ascii="Times New Roman" w:eastAsia="SimSu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pPr>
      <w:numPr>
        <w:numId w:val="5"/>
      </w:numPr>
      <w:overflowPunct w:val="0"/>
      <w:autoSpaceDE w:val="0"/>
      <w:autoSpaceDN w:val="0"/>
      <w:adjustRightInd w:val="0"/>
      <w:textAlignment w:val="baseline"/>
    </w:pPr>
    <w:rPr>
      <w:rFonts w:eastAsia="SimSun"/>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ascii="Times New Roman" w:eastAsia="MS Mincho" w:hAnsi="Times New Roman"/>
      <w:lang w:val="en-GB" w:eastAsia="ja-JP"/>
    </w:r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Pr>
      <w:rFonts w:ascii="Times New Roman" w:eastAsia="MS Mincho" w:hAnsi="Times New Roman"/>
      <w:i/>
      <w:lang w:val="en-GB" w:eastAsia="en-US"/>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Pr>
      <w:rFonts w:ascii="Times New Roman" w:eastAsia="Osaka" w:hAnsi="Times New Roman"/>
      <w:color w:val="000000"/>
      <w:lang w:val="en-GB"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styleId="NormalIndent">
    <w:name w:val="Normal Indent"/>
    <w:aliases w:val="d"/>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S Mincho" w:hAnsi="Times New Roman"/>
      <w:sz w:val="24"/>
      <w:szCs w:val="24"/>
      <w:lang w:val="en-GB" w:eastAsia="ko-KR"/>
    </w:rPr>
  </w:style>
  <w:style w:type="paragraph" w:customStyle="1" w:styleId="-PAGE-">
    <w:name w:val="- PAGE -"/>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MS Mincho" w:hAnsi="Times New Roman"/>
      <w:sz w:val="24"/>
      <w:szCs w:val="24"/>
      <w:lang w:val="en-GB" w:eastAsia="ko-KR"/>
    </w:rPr>
  </w:style>
  <w:style w:type="paragraph" w:customStyle="1" w:styleId="Createdon">
    <w:name w:val="Created on"/>
    <w:rPr>
      <w:rFonts w:ascii="Times New Roman" w:eastAsia="MS Mincho" w:hAnsi="Times New Roman"/>
      <w:sz w:val="24"/>
      <w:szCs w:val="24"/>
      <w:lang w:val="en-GB" w:eastAsia="ko-KR"/>
    </w:rPr>
  </w:style>
  <w:style w:type="paragraph" w:customStyle="1" w:styleId="Lastprinted">
    <w:name w:val="Last printed"/>
    <w:rPr>
      <w:rFonts w:ascii="Times New Roman" w:eastAsia="MS Mincho" w:hAnsi="Times New Roman"/>
      <w:sz w:val="24"/>
      <w:szCs w:val="24"/>
      <w:lang w:val="en-GB" w:eastAsia="ko-KR"/>
    </w:rPr>
  </w:style>
  <w:style w:type="paragraph" w:customStyle="1" w:styleId="Lastsavedby">
    <w:name w:val="Last saved by"/>
    <w:rPr>
      <w:rFonts w:ascii="Times New Roman" w:eastAsia="MS Mincho" w:hAnsi="Times New Roman"/>
      <w:sz w:val="24"/>
      <w:szCs w:val="24"/>
      <w:lang w:val="en-GB" w:eastAsia="ko-KR"/>
    </w:rPr>
  </w:style>
  <w:style w:type="paragraph" w:customStyle="1" w:styleId="Filename">
    <w:name w:val="Filename"/>
    <w:rPr>
      <w:rFonts w:ascii="Times New Roman" w:eastAsia="MS Mincho" w:hAnsi="Times New Roman"/>
      <w:sz w:val="24"/>
      <w:szCs w:val="24"/>
      <w:lang w:val="en-GB" w:eastAsia="ko-KR"/>
    </w:rPr>
  </w:style>
  <w:style w:type="paragraph" w:customStyle="1" w:styleId="Filenameandpath">
    <w:name w:val="Filename and path"/>
    <w:rPr>
      <w:rFonts w:ascii="Times New Roman" w:eastAsia="MS Mincho" w:hAnsi="Times New Roman"/>
      <w:sz w:val="24"/>
      <w:szCs w:val="24"/>
      <w:lang w:val="en-GB" w:eastAsia="ko-KR"/>
    </w:rPr>
  </w:style>
  <w:style w:type="paragraph" w:customStyle="1" w:styleId="AuthorPageDate">
    <w:name w:val="Author  Page #  Date"/>
    <w:rPr>
      <w:rFonts w:ascii="Times New Roman" w:eastAsia="MS Mincho" w:hAnsi="Times New Roman"/>
      <w:sz w:val="24"/>
      <w:szCs w:val="24"/>
      <w:lang w:val="en-GB" w:eastAsia="ko-KR"/>
    </w:rPr>
  </w:style>
  <w:style w:type="paragraph" w:customStyle="1" w:styleId="ConfidentialPageDate">
    <w:name w:val="Confidential  Page #  Date"/>
    <w:rPr>
      <w:rFonts w:ascii="Times New Roman" w:eastAsia="MS Mincho"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pPr>
    <w:rPr>
      <w:rFonts w:eastAsia="SimSun"/>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rFonts w:eastAsia="MS Mincho"/>
      <w:sz w:val="24"/>
      <w:szCs w:val="24"/>
      <w:lang w:val="en-US"/>
    </w:rPr>
  </w:style>
  <w:style w:type="paragraph" w:customStyle="1" w:styleId="14">
    <w:name w:val="吹き出し1"/>
    <w:basedOn w:val="Normal"/>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Pr>
      <w:rFonts w:eastAsia="MS Mincho"/>
      <w:kern w:val="2"/>
    </w:rPr>
  </w:style>
  <w:style w:type="character" w:customStyle="1" w:styleId="StyleTACChar">
    <w:name w:val="Style TAC + Char"/>
    <w:link w:val="StyleTAC"/>
    <w:rPr>
      <w:rFonts w:ascii="Arial" w:eastAsia="MS Mincho"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rPr>
      <w:rFonts w:ascii="Tahoma" w:eastAsia="MS Mincho" w:hAnsi="Tahoma" w:cs="Tahoma"/>
      <w:sz w:val="16"/>
      <w:szCs w:val="16"/>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hAnsi="Times New Roman"/>
      <w:i/>
      <w:color w:val="0000FF"/>
      <w:lang w:val="en-GB" w:eastAsia="en-GB"/>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Pr>
      <w:rFonts w:ascii="Times New Roman" w:eastAsia="Yu Mincho"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val="en-GB" w:eastAsia="en-US"/>
    </w:rPr>
  </w:style>
  <w:style w:type="paragraph" w:customStyle="1" w:styleId="a">
    <w:name w:val="表格题注"/>
    <w:next w:val="Normal"/>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pPr>
      <w:numPr>
        <w:numId w:val="12"/>
      </w:numPr>
      <w:jc w:val="center"/>
    </w:pPr>
    <w:rPr>
      <w:rFonts w:ascii="Times New Roman" w:eastAsia="Yu Mincho"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spacing w:after="240"/>
      <w:jc w:val="both"/>
    </w:pPr>
    <w:rPr>
      <w:rFonts w:eastAsia="SimSun"/>
      <w:sz w:val="24"/>
      <w:lang w:val="en-AU"/>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SimSun" w:hAnsi="Helvetica"/>
    </w:rPr>
  </w:style>
  <w:style w:type="paragraph" w:customStyle="1" w:styleId="List10">
    <w:name w:val="List1"/>
    <w:basedOn w:val="Normal"/>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pPr>
      <w:spacing w:before="120" w:after="0"/>
      <w:jc w:val="both"/>
    </w:pPr>
    <w:rPr>
      <w:rFonts w:eastAsia="SimSun"/>
      <w:lang w:val="en-US"/>
    </w:rPr>
  </w:style>
  <w:style w:type="paragraph" w:customStyle="1" w:styleId="centered">
    <w:name w:val="centered"/>
    <w:basedOn w:val="Normal"/>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pPr>
      <w:spacing w:before="100" w:beforeAutospacing="1" w:after="100" w:afterAutospacing="1"/>
    </w:pPr>
    <w:rPr>
      <w:rFonts w:eastAsia="SimSun"/>
      <w:sz w:val="24"/>
      <w:szCs w:val="24"/>
      <w:lang w:val="en-US" w:eastAsia="en-GB"/>
    </w:rPr>
  </w:style>
  <w:style w:type="table" w:styleId="TableClassic2">
    <w:name w:val="Table Classic 2"/>
    <w:basedOn w:val="TableNormal"/>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Normal"/>
    <w:pPr>
      <w:spacing w:after="240"/>
      <w:ind w:left="482"/>
      <w:jc w:val="both"/>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style>
  <w:style w:type="paragraph" w:customStyle="1" w:styleId="cita">
    <w:name w:val="cita"/>
    <w:basedOn w:val="Normal"/>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20">
    <w:name w:val="日期 Char2"/>
    <w:rPr>
      <w:lang w:val="en-GB" w:eastAsia="x-none"/>
    </w:rPr>
  </w:style>
  <w:style w:type="paragraph" w:customStyle="1" w:styleId="p20">
    <w:name w:val="p20"/>
    <w:basedOn w:val="Normal"/>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Pr>
      <w:color w:val="808080"/>
    </w:rPr>
  </w:style>
  <w:style w:type="paragraph" w:customStyle="1" w:styleId="Norma">
    <w:name w:val="Norma"/>
    <w:basedOn w:val="Heading1"/>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TOC93">
    <w:name w:val="TOC 93"/>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Pr>
      <w:rFonts w:ascii="Times New Roman" w:eastAsia="SimSun" w:hAnsi="Times New Roman"/>
      <w:lang w:val="en-GB"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ascii="Times New Roman" w:eastAsia="PMingLiU" w:hAnsi="Times New Roman"/>
      <w:lang w:val="en-US" w:eastAsia="zh-CN"/>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paragraph" w:customStyle="1" w:styleId="B1LatinItalique">
    <w:name w:val="B1 + (Latin) Italique"/>
    <w:basedOn w:val="B10"/>
    <w:link w:val="B1LatinItaliqueCar"/>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rFonts w:ascii="Times New Roman" w:eastAsia="SimSun" w:hAnsi="Times New Roman"/>
      <w:lang w:val="en-GB" w:eastAsia="en-US"/>
    </w:rPr>
  </w:style>
  <w:style w:type="paragraph" w:customStyle="1" w:styleId="MO">
    <w:name w:val="MO"/>
    <w:basedOn w:val="Normal"/>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25">
    <w:name w:val="Char Char25"/>
    <w:rPr>
      <w:rFonts w:ascii="Arial" w:hAnsi="Arial" w:cs="Arial" w:hint="default"/>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Pr>
      <w:rFonts w:ascii="Arial" w:hAnsi="Arial"/>
      <w:sz w:val="36"/>
      <w:lang w:val="en-GB"/>
    </w:rPr>
  </w:style>
  <w:style w:type="paragraph" w:customStyle="1" w:styleId="NB2">
    <w:name w:val="NB2"/>
    <w:basedOn w:val="ZG"/>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Pr>
      <w:rFonts w:ascii="Times New Roman" w:hAnsi="Times New Roman"/>
      <w:lang w:val="en-GB" w:eastAsia="en-US"/>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val="0"/>
      <w:autoSpaceDE w:val="0"/>
      <w:autoSpaceDN w:val="0"/>
      <w:adjustRightInd w:val="0"/>
      <w:textAlignment w:val="baseline"/>
    </w:pPr>
    <w:rPr>
      <w:rFonts w:eastAsia="SimSun"/>
      <w:lang w:eastAsia="en-GB"/>
    </w:rPr>
  </w:style>
  <w:style w:type="paragraph" w:customStyle="1" w:styleId="TH0">
    <w:name w:val="样式 TH"/>
    <w:basedOn w:val="TH"/>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pPr>
      <w:overflowPunct w:val="0"/>
      <w:autoSpaceDE w:val="0"/>
      <w:autoSpaceDN w:val="0"/>
      <w:adjustRightInd w:val="0"/>
      <w:textAlignment w:val="baseline"/>
    </w:pPr>
    <w:rPr>
      <w:rFonts w:eastAsia="SimSun" w:cs="v4.2.0"/>
      <w:lang w:eastAsia="en-GB"/>
    </w:rPr>
  </w:style>
  <w:style w:type="paragraph" w:customStyle="1" w:styleId="21">
    <w:name w:val="21"/>
    <w:basedOn w:val="Normal"/>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pPr>
      <w:ind w:left="851" w:hanging="284"/>
    </w:pPr>
  </w:style>
  <w:style w:type="paragraph" w:customStyle="1" w:styleId="af1">
    <w:name w:val="箇条書き"/>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pPr>
      <w:tabs>
        <w:tab w:val="clear" w:pos="644"/>
        <w:tab w:val="num" w:pos="1494"/>
      </w:tabs>
      <w:ind w:left="851" w:hanging="284"/>
    </w:pPr>
  </w:style>
  <w:style w:type="paragraph" w:customStyle="1" w:styleId="35">
    <w:name w:val="箇条書き 3"/>
    <w:basedOn w:val="27"/>
    <w:pPr>
      <w:ind w:left="1135"/>
    </w:pPr>
  </w:style>
  <w:style w:type="paragraph" w:customStyle="1" w:styleId="28">
    <w:name w:val="一覧 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pPr>
      <w:ind w:left="1135"/>
    </w:pPr>
  </w:style>
  <w:style w:type="paragraph" w:customStyle="1" w:styleId="46">
    <w:name w:val="一覧 4"/>
    <w:basedOn w:val="36"/>
    <w:pPr>
      <w:ind w:left="1418"/>
    </w:pPr>
  </w:style>
  <w:style w:type="paragraph" w:customStyle="1" w:styleId="53">
    <w:name w:val="一覧 5"/>
    <w:basedOn w:val="46"/>
    <w:pPr>
      <w:ind w:left="1702"/>
    </w:pPr>
  </w:style>
  <w:style w:type="paragraph" w:customStyle="1" w:styleId="47">
    <w:name w:val="箇条書き 4"/>
    <w:basedOn w:val="35"/>
    <w:pPr>
      <w:ind w:left="1418"/>
    </w:pPr>
  </w:style>
  <w:style w:type="paragraph" w:customStyle="1" w:styleId="54">
    <w:name w:val="箇条書き 5"/>
    <w:basedOn w:val="47"/>
    <w:pPr>
      <w:ind w:left="1702"/>
    </w:pPr>
  </w:style>
  <w:style w:type="paragraph" w:customStyle="1" w:styleId="af2">
    <w:name w:val="コメント文字列"/>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Pr>
      <w:b/>
      <w:bCs/>
    </w:rPr>
  </w:style>
  <w:style w:type="paragraph" w:customStyle="1" w:styleId="af4">
    <w:name w:val="見出しマップ"/>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pPr>
      <w:overflowPunct w:val="0"/>
      <w:autoSpaceDE w:val="0"/>
      <w:autoSpaceDN w:val="0"/>
      <w:adjustRightInd w:val="0"/>
      <w:textAlignment w:val="baseline"/>
    </w:pPr>
    <w:rPr>
      <w:rFonts w:eastAsia="SimSun"/>
      <w:lang w:eastAsia="ja-JP"/>
    </w:rPr>
  </w:style>
  <w:style w:type="paragraph" w:customStyle="1" w:styleId="b31">
    <w:name w:val="b3"/>
    <w:basedOn w:val="Normal"/>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pPr>
      <w:ind w:left="851" w:hanging="284"/>
    </w:pPr>
  </w:style>
  <w:style w:type="paragraph" w:customStyle="1" w:styleId="1f0">
    <w:name w:val="箇条書き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1">
    <w:name w:val="コメント文字列1"/>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Pr>
      <w:b/>
      <w:bCs/>
    </w:rPr>
  </w:style>
  <w:style w:type="paragraph" w:customStyle="1" w:styleId="1f3">
    <w:name w:val="見出しマップ1"/>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qFormat/>
    <w:rPr>
      <w:rFonts w:ascii="Times New Roman" w:eastAsia="SimSun" w:hAnsi="Times New Roman"/>
      <w:lang w:val="en-GB" w:eastAsia="en-US"/>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qFormat/>
    <w:rPr>
      <w:rFonts w:ascii="Times New Roman" w:eastAsia="SimSun" w:hAnsi="Times New Roman"/>
      <w:lang w:val="en-GB" w:eastAsia="en-US"/>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pPr>
      <w:overflowPunct w:val="0"/>
      <w:autoSpaceDE w:val="0"/>
      <w:autoSpaceDN w:val="0"/>
      <w:adjustRightInd w:val="0"/>
      <w:textAlignment w:val="baseline"/>
    </w:pPr>
    <w:rPr>
      <w:rFonts w:eastAsia="SimSun" w:cs="v4.2.0"/>
      <w:lang w:eastAsia="x-none"/>
    </w:rPr>
  </w:style>
  <w:style w:type="paragraph" w:customStyle="1" w:styleId="TTH">
    <w:name w:val="TTH"/>
    <w:basedOn w:val="Normal"/>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pPr>
      <w:tabs>
        <w:tab w:val="left" w:pos="426"/>
      </w:tabs>
    </w:pPr>
    <w:rPr>
      <w:rFonts w:ascii="Times New Roman" w:eastAsia="SimSun" w:hAnsi="Times New Roman"/>
      <w:lang w:val="en-GB" w:eastAsia="zh-CN"/>
    </w:rPr>
  </w:style>
  <w:style w:type="paragraph" w:customStyle="1" w:styleId="Headernonumber">
    <w:name w:val="Header_nonumber"/>
    <w:basedOn w:val="Heading1"/>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US" w:eastAsia="zh-CN"/>
    </w:rPr>
    <w:tblPr/>
  </w:style>
  <w:style w:type="table" w:customStyle="1" w:styleId="TableGrid41">
    <w:name w:val="Table Grid41"/>
    <w:basedOn w:val="TableNormal"/>
    <w:next w:val="TableGrid"/>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pPr>
      <w:ind w:left="851" w:hanging="284"/>
    </w:pPr>
  </w:style>
  <w:style w:type="paragraph" w:customStyle="1" w:styleId="2f1">
    <w:name w:val="箇条書き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2">
    <w:name w:val="コメント文字列2"/>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Pr>
      <w:b/>
      <w:bCs/>
    </w:rPr>
  </w:style>
  <w:style w:type="paragraph" w:customStyle="1" w:styleId="2f4">
    <w:name w:val="見出しマップ2"/>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pPr>
      <w:ind w:left="851" w:hanging="284"/>
    </w:pPr>
  </w:style>
  <w:style w:type="paragraph" w:customStyle="1" w:styleId="3d">
    <w:name w:val="箇条書き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e">
    <w:name w:val="コメント文字列3"/>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Pr>
      <w:b/>
      <w:bCs/>
    </w:rPr>
  </w:style>
  <w:style w:type="paragraph" w:customStyle="1" w:styleId="3f0">
    <w:name w:val="見出しマップ3"/>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rFonts w:ascii="Times New Roman" w:eastAsia="SimSun" w:hAnsi="Times New Roman"/>
      <w:lang w:val="en-GB" w:eastAsia="en-US"/>
    </w:rPr>
  </w:style>
  <w:style w:type="paragraph" w:customStyle="1" w:styleId="62">
    <w:name w:val="吹き出し6"/>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pPr>
      <w:ind w:left="851" w:hanging="284"/>
    </w:pPr>
  </w:style>
  <w:style w:type="paragraph" w:customStyle="1" w:styleId="4c">
    <w:name w:val="箇条書き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d">
    <w:name w:val="コメント文字列4"/>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Pr>
      <w:b/>
      <w:bCs/>
    </w:rPr>
  </w:style>
  <w:style w:type="paragraph" w:customStyle="1" w:styleId="4f">
    <w:name w:val="見出しマップ4"/>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US" w:eastAsia="zh-CN"/>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3">
    <w:name w:val="메모 주제 Char"/>
    <w:rPr>
      <w:rFonts w:ascii="Times New Roman" w:hAnsi="Times New Roman"/>
      <w:b/>
      <w:bCs/>
      <w:lang w:val="en-GB" w:eastAsia="en-US"/>
    </w:rPr>
  </w:style>
  <w:style w:type="character" w:customStyle="1" w:styleId="Char4">
    <w:name w:val="批注主题 Char"/>
    <w:rPr>
      <w:b/>
      <w:bCs/>
      <w:lang w:val="en-GB" w:eastAsia="en-US" w:bidi="ar-SA"/>
    </w:rPr>
  </w:style>
  <w:style w:type="paragraph" w:customStyle="1" w:styleId="HTML4">
    <w:name w:val="HTML 書式付き4"/>
    <w:basedOn w:val="Normal"/>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character" w:customStyle="1" w:styleId="afd">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spacing w:before="120" w:after="120"/>
    </w:pPr>
    <w:rPr>
      <w:rFonts w:eastAsia="MS Mincho" w:cs="Mangal"/>
      <w:i/>
      <w:iCs/>
      <w:sz w:val="24"/>
      <w:szCs w:val="24"/>
      <w:lang w:eastAsia="ar-SA"/>
    </w:rPr>
  </w:style>
  <w:style w:type="paragraph" w:customStyle="1" w:styleId="59">
    <w:name w:val="段落番号5"/>
    <w:basedOn w:val="List"/>
    <w:pPr>
      <w:tabs>
        <w:tab w:val="num" w:pos="644"/>
      </w:tabs>
      <w:suppressAutoHyphens/>
      <w:ind w:left="644" w:hanging="360"/>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ind w:left="644" w:hanging="360"/>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ind w:left="851"/>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pPr>
    <w:rPr>
      <w:rFonts w:ascii="Tahoma" w:eastAsia="MS Mincho" w:hAnsi="Tahoma" w:cs="Tahoma"/>
      <w:lang w:eastAsia="ar-SA"/>
    </w:rPr>
  </w:style>
  <w:style w:type="paragraph" w:customStyle="1" w:styleId="5e">
    <w:name w:val="書式なし5"/>
    <w:basedOn w:val="Normal"/>
    <w:pPr>
      <w:suppressAutoHyphens/>
    </w:pPr>
    <w:rPr>
      <w:rFonts w:ascii="Courier New" w:eastAsia="MS Mincho" w:hAnsi="Courier New" w:cs="CG Times (WN)"/>
      <w:lang w:val="nb-NO" w:eastAsia="ar-SA"/>
    </w:rPr>
  </w:style>
  <w:style w:type="paragraph" w:customStyle="1" w:styleId="Web5">
    <w:name w:val="標準 (Web)5"/>
    <w:basedOn w:val="Normal"/>
    <w:pPr>
      <w:suppressAutoHyphens/>
      <w:spacing w:before="100" w:after="100"/>
    </w:pPr>
    <w:rPr>
      <w:rFonts w:eastAsia="Arial Unicode MS" w:cs="CG Times (WN)"/>
      <w:sz w:val="24"/>
      <w:szCs w:val="24"/>
      <w:lang w:eastAsia="en-GB"/>
    </w:rPr>
  </w:style>
  <w:style w:type="paragraph" w:customStyle="1" w:styleId="253">
    <w:name w:val="本文インデント 25"/>
    <w:basedOn w:val="Normal"/>
    <w:pPr>
      <w:suppressAutoHyphens/>
      <w:ind w:left="567"/>
    </w:pPr>
    <w:rPr>
      <w:rFonts w:ascii="Arial" w:eastAsia="MS Mincho" w:hAnsi="Arial" w:cs="Arial"/>
      <w:lang w:eastAsia="ar-SA"/>
    </w:rPr>
  </w:style>
  <w:style w:type="paragraph" w:customStyle="1" w:styleId="5f">
    <w:name w:val="標準インデント5"/>
    <w:basedOn w:val="Normal"/>
    <w:pPr>
      <w:suppressAutoHyphens/>
      <w:ind w:left="708"/>
    </w:pPr>
    <w:rPr>
      <w:rFonts w:eastAsia="MS Mincho" w:cs="CG Times (WN)"/>
      <w:lang w:eastAsia="ar-SA"/>
    </w:rPr>
  </w:style>
  <w:style w:type="paragraph" w:customStyle="1" w:styleId="5f0">
    <w:name w:val="記5"/>
    <w:basedOn w:val="Normal"/>
    <w:next w:val="Normal"/>
    <w:pPr>
      <w:suppressAutoHyphens/>
    </w:pPr>
    <w:rPr>
      <w:rFonts w:eastAsia="MS Mincho" w:cs="CG Times (WN)"/>
      <w:lang w:eastAsia="ar-SA"/>
    </w:rPr>
  </w:style>
  <w:style w:type="paragraph" w:customStyle="1" w:styleId="HTML5">
    <w:name w:val="HTML 書式付き5"/>
    <w:basedOn w:val="Normal"/>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spacing w:after="120"/>
    </w:pPr>
    <w:rPr>
      <w:rFonts w:eastAsia="MS Mincho" w:cs="CG Times (WN)"/>
      <w:lang w:eastAsia="ar-SA"/>
    </w:rPr>
  </w:style>
  <w:style w:type="paragraph" w:customStyle="1" w:styleId="352">
    <w:name w:val="本文 35"/>
    <w:basedOn w:val="Normal"/>
    <w:pPr>
      <w:suppressAutoHyphens/>
      <w:spacing w:after="120"/>
    </w:pPr>
    <w:rPr>
      <w:rFonts w:eastAsia="MS Mincho" w:cs="CG Times (WN)"/>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098990">
      <w:bodyDiv w:val="1"/>
      <w:marLeft w:val="0"/>
      <w:marRight w:val="0"/>
      <w:marTop w:val="0"/>
      <w:marBottom w:val="0"/>
      <w:divBdr>
        <w:top w:val="none" w:sz="0" w:space="0" w:color="auto"/>
        <w:left w:val="none" w:sz="0" w:space="0" w:color="auto"/>
        <w:bottom w:val="none" w:sz="0" w:space="0" w:color="auto"/>
        <w:right w:val="none" w:sz="0" w:space="0" w:color="auto"/>
      </w:divBdr>
    </w:div>
    <w:div w:id="150956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269" TargetMode="External"/><Relationship Id="rId18" Type="http://schemas.openxmlformats.org/officeDocument/2006/relationships/hyperlink" Target="mailto:1@215" TargetMode="External"/><Relationship Id="rId26" Type="http://schemas.openxmlformats.org/officeDocument/2006/relationships/hyperlink" Target="mailto:1@47" TargetMode="External"/><Relationship Id="rId39" Type="http://schemas.openxmlformats.org/officeDocument/2006/relationships/hyperlink" Target="mailto:1@0" TargetMode="External"/><Relationship Id="rId21" Type="http://schemas.openxmlformats.org/officeDocument/2006/relationships/hyperlink" Target="mailto:1@99" TargetMode="External"/><Relationship Id="rId34"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76" Type="http://schemas.openxmlformats.org/officeDocument/2006/relationships/hyperlink" Target="mailto:1@99" TargetMode="External"/><Relationship Id="rId8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16" Type="http://schemas.openxmlformats.org/officeDocument/2006/relationships/hyperlink" Target="mailto:1@215" TargetMode="External"/><Relationship Id="rId29" Type="http://schemas.openxmlformats.org/officeDocument/2006/relationships/hyperlink" Target="mailto:1@26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66" Type="http://schemas.openxmlformats.org/officeDocument/2006/relationships/hyperlink" Target="mailto:1@9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1@272"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24</Pages>
  <Words>8844</Words>
  <Characters>43433</Characters>
  <Application>Microsoft Office Word</Application>
  <DocSecurity>0</DocSecurity>
  <Lines>361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10</cp:revision>
  <cp:lastPrinted>1900-01-01T08:00:00Z</cp:lastPrinted>
  <dcterms:created xsi:type="dcterms:W3CDTF">2021-04-27T05:30:00Z</dcterms:created>
  <dcterms:modified xsi:type="dcterms:W3CDTF">2021-05-27T20:59:00Z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